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57551" w14:textId="60FA9FED" w:rsidR="000C13D6" w:rsidRPr="006B6155" w:rsidRDefault="001E4226" w:rsidP="000C3FDE">
      <w:pPr>
        <w:pStyle w:val="Subtitle"/>
        <w:spacing w:before="100" w:beforeAutospacing="1" w:after="100" w:afterAutospacing="1" w:line="276" w:lineRule="auto"/>
        <w:ind w:right="-476"/>
        <w:jc w:val="right"/>
        <w:rPr>
          <w:rFonts w:ascii="Times New Roman" w:hAnsi="Times New Roman"/>
          <w:sz w:val="20"/>
          <w:szCs w:val="20"/>
          <w:lang w:val="es-ES"/>
        </w:rPr>
      </w:pPr>
      <w:r w:rsidRPr="006B6155">
        <w:rPr>
          <w:rFonts w:ascii="Times New Roman" w:hAnsi="Times New Roman"/>
          <w:sz w:val="20"/>
          <w:szCs w:val="20"/>
        </w:rPr>
        <w:t xml:space="preserve">Ciudad Autónoma de </w:t>
      </w:r>
      <w:r w:rsidR="003329FA" w:rsidRPr="006B6155">
        <w:rPr>
          <w:rFonts w:ascii="Times New Roman" w:hAnsi="Times New Roman"/>
          <w:sz w:val="20"/>
          <w:szCs w:val="20"/>
        </w:rPr>
        <w:t xml:space="preserve">Buenos Aires, </w:t>
      </w:r>
      <w:r w:rsidR="00056572" w:rsidRPr="006B6155">
        <w:rPr>
          <w:rFonts w:ascii="Times New Roman" w:hAnsi="Times New Roman"/>
          <w:sz w:val="20"/>
          <w:szCs w:val="20"/>
          <w:lang w:val="es-AR"/>
        </w:rPr>
        <w:t>2</w:t>
      </w:r>
      <w:r w:rsidR="005B4058" w:rsidRPr="006B6155">
        <w:rPr>
          <w:rFonts w:ascii="Times New Roman" w:hAnsi="Times New Roman"/>
          <w:sz w:val="20"/>
          <w:szCs w:val="20"/>
          <w:lang w:val="es-AR"/>
        </w:rPr>
        <w:t>9</w:t>
      </w:r>
      <w:r w:rsidR="000C3FDE" w:rsidRPr="006B6155">
        <w:rPr>
          <w:rFonts w:ascii="Times New Roman" w:hAnsi="Times New Roman"/>
          <w:sz w:val="20"/>
          <w:szCs w:val="20"/>
          <w:lang w:val="es-AR"/>
        </w:rPr>
        <w:t xml:space="preserve"> de </w:t>
      </w:r>
      <w:r w:rsidR="00037571" w:rsidRPr="006B6155">
        <w:rPr>
          <w:rFonts w:ascii="Times New Roman" w:hAnsi="Times New Roman"/>
          <w:sz w:val="20"/>
          <w:szCs w:val="20"/>
          <w:lang w:val="es-AR"/>
        </w:rPr>
        <w:t>junio</w:t>
      </w:r>
      <w:r w:rsidR="00491F80" w:rsidRPr="006B6155">
        <w:rPr>
          <w:rFonts w:ascii="Times New Roman" w:hAnsi="Times New Roman"/>
          <w:sz w:val="20"/>
          <w:szCs w:val="20"/>
          <w:lang w:val="es-ES"/>
        </w:rPr>
        <w:t xml:space="preserve"> de 20</w:t>
      </w:r>
      <w:r w:rsidR="00037571" w:rsidRPr="006B6155">
        <w:rPr>
          <w:rFonts w:ascii="Times New Roman" w:hAnsi="Times New Roman"/>
          <w:sz w:val="20"/>
          <w:szCs w:val="20"/>
          <w:lang w:val="es-ES"/>
        </w:rPr>
        <w:t>21</w:t>
      </w:r>
    </w:p>
    <w:p w14:paraId="304E06F7" w14:textId="77777777" w:rsidR="003A56EA" w:rsidRPr="006B6155" w:rsidRDefault="003A56EA" w:rsidP="003A56EA">
      <w:pPr>
        <w:widowControl w:val="0"/>
        <w:jc w:val="both"/>
        <w:rPr>
          <w:sz w:val="20"/>
          <w:lang w:val="es-ES"/>
        </w:rPr>
      </w:pPr>
    </w:p>
    <w:p w14:paraId="3C6E0E44" w14:textId="77777777" w:rsidR="003A56EA" w:rsidRPr="006B6155" w:rsidRDefault="003A56EA" w:rsidP="003A56EA">
      <w:pPr>
        <w:widowControl w:val="0"/>
        <w:jc w:val="both"/>
        <w:rPr>
          <w:sz w:val="20"/>
        </w:rPr>
      </w:pPr>
      <w:r w:rsidRPr="006B6155">
        <w:rPr>
          <w:sz w:val="20"/>
        </w:rPr>
        <w:t>Señores</w:t>
      </w:r>
    </w:p>
    <w:p w14:paraId="74A15946" w14:textId="77777777" w:rsidR="00AD7FC3" w:rsidRPr="006B6155" w:rsidRDefault="00AD7FC3" w:rsidP="00AD7FC3">
      <w:pPr>
        <w:pStyle w:val="BodyText"/>
        <w:rPr>
          <w:b/>
          <w:bCs/>
          <w:sz w:val="20"/>
          <w:lang w:val="es-ES"/>
        </w:rPr>
      </w:pPr>
      <w:r w:rsidRPr="009A546A">
        <w:rPr>
          <w:b/>
          <w:sz w:val="20"/>
          <w:lang w:val="es-ES"/>
        </w:rPr>
        <w:t>Comisión Nacional de Valores</w:t>
      </w:r>
    </w:p>
    <w:p w14:paraId="6CEAD806" w14:textId="77777777" w:rsidR="00AD7FC3" w:rsidRPr="009A546A" w:rsidRDefault="00AD7FC3" w:rsidP="009A546A">
      <w:pPr>
        <w:pStyle w:val="BodyText"/>
        <w:rPr>
          <w:b/>
          <w:sz w:val="20"/>
          <w:lang w:val="es-ES"/>
        </w:rPr>
      </w:pPr>
      <w:r w:rsidRPr="006B6155">
        <w:rPr>
          <w:b/>
          <w:bCs/>
          <w:sz w:val="20"/>
          <w:lang w:val="es-ES"/>
        </w:rPr>
        <w:t>Bolsas y Mercados Argentinos</w:t>
      </w:r>
      <w:r w:rsidRPr="009A546A">
        <w:rPr>
          <w:b/>
          <w:sz w:val="20"/>
          <w:lang w:val="es-ES"/>
        </w:rPr>
        <w:t xml:space="preserve"> S.A.</w:t>
      </w:r>
    </w:p>
    <w:p w14:paraId="086E594A" w14:textId="77777777" w:rsidR="00AD7FC3" w:rsidRPr="006B6155" w:rsidRDefault="00AD7FC3" w:rsidP="00AD7FC3">
      <w:pPr>
        <w:pStyle w:val="BodyText"/>
        <w:rPr>
          <w:b/>
          <w:bCs/>
          <w:sz w:val="20"/>
          <w:lang w:val="es-ES"/>
        </w:rPr>
      </w:pPr>
      <w:r w:rsidRPr="006B6155">
        <w:rPr>
          <w:b/>
          <w:bCs/>
          <w:sz w:val="20"/>
          <w:lang w:val="es-ES"/>
        </w:rPr>
        <w:t>Mercado Abierto Electrónico S.A.</w:t>
      </w:r>
    </w:p>
    <w:p w14:paraId="44A66885" w14:textId="77777777" w:rsidR="00AD7FC3" w:rsidRPr="006B6155" w:rsidRDefault="00AD7FC3" w:rsidP="003A56EA">
      <w:pPr>
        <w:pStyle w:val="BodyText"/>
        <w:widowControl w:val="0"/>
        <w:rPr>
          <w:b/>
          <w:bCs/>
          <w:sz w:val="20"/>
          <w:lang w:val="es-ES"/>
        </w:rPr>
      </w:pPr>
    </w:p>
    <w:p w14:paraId="44533784" w14:textId="6B4F3A6C" w:rsidR="00202E73" w:rsidRPr="006B6155" w:rsidRDefault="003A56EA" w:rsidP="003A56EA">
      <w:pPr>
        <w:widowControl w:val="0"/>
        <w:jc w:val="both"/>
        <w:rPr>
          <w:sz w:val="20"/>
          <w:u w:val="words"/>
        </w:rPr>
      </w:pPr>
      <w:r w:rsidRPr="006B6155">
        <w:rPr>
          <w:sz w:val="20"/>
          <w:u w:val="words"/>
        </w:rPr>
        <w:t>Presente</w:t>
      </w:r>
    </w:p>
    <w:p w14:paraId="645F575E" w14:textId="0D141810" w:rsidR="00167BA3" w:rsidRPr="006B6155" w:rsidRDefault="00A667AB" w:rsidP="005533C8">
      <w:pPr>
        <w:spacing w:before="100" w:beforeAutospacing="1" w:after="100" w:afterAutospacing="1" w:line="276" w:lineRule="auto"/>
        <w:ind w:left="2410" w:right="-476"/>
        <w:jc w:val="right"/>
        <w:rPr>
          <w:b/>
          <w:sz w:val="20"/>
        </w:rPr>
      </w:pPr>
      <w:r w:rsidRPr="006B6155">
        <w:rPr>
          <w:b/>
          <w:sz w:val="20"/>
        </w:rPr>
        <w:t>Ref</w:t>
      </w:r>
      <w:r w:rsidR="001E4226" w:rsidRPr="006B6155">
        <w:rPr>
          <w:b/>
          <w:sz w:val="20"/>
        </w:rPr>
        <w:t>.</w:t>
      </w:r>
      <w:r w:rsidRPr="006B6155">
        <w:rPr>
          <w:b/>
          <w:sz w:val="20"/>
        </w:rPr>
        <w:t>:</w:t>
      </w:r>
      <w:r w:rsidR="00585907" w:rsidRPr="006B6155">
        <w:rPr>
          <w:b/>
          <w:sz w:val="20"/>
        </w:rPr>
        <w:t xml:space="preserve"> </w:t>
      </w:r>
      <w:r w:rsidR="000C3FDE" w:rsidRPr="006B6155">
        <w:rPr>
          <w:b/>
          <w:sz w:val="20"/>
        </w:rPr>
        <w:t xml:space="preserve">Hecho relevante – </w:t>
      </w:r>
      <w:r w:rsidR="0019799F" w:rsidRPr="006B6155">
        <w:rPr>
          <w:b/>
          <w:sz w:val="20"/>
        </w:rPr>
        <w:t>M</w:t>
      </w:r>
      <w:r w:rsidR="00DC6339" w:rsidRPr="006B6155">
        <w:rPr>
          <w:b/>
          <w:sz w:val="20"/>
        </w:rPr>
        <w:t>odificaciones a la Oferta de Canje</w:t>
      </w:r>
      <w:r w:rsidR="000C3FDE" w:rsidRPr="006B6155">
        <w:rPr>
          <w:b/>
          <w:sz w:val="20"/>
        </w:rPr>
        <w:t>.</w:t>
      </w:r>
    </w:p>
    <w:p w14:paraId="38A7AD4E" w14:textId="77777777" w:rsidR="00167BA3" w:rsidRPr="006B6155" w:rsidRDefault="00167BA3" w:rsidP="000C3FDE">
      <w:pPr>
        <w:spacing w:before="100" w:beforeAutospacing="1" w:after="100" w:afterAutospacing="1" w:line="276" w:lineRule="auto"/>
        <w:ind w:right="-476"/>
        <w:rPr>
          <w:sz w:val="20"/>
        </w:rPr>
      </w:pPr>
      <w:r w:rsidRPr="006B6155">
        <w:rPr>
          <w:sz w:val="20"/>
        </w:rPr>
        <w:t>De mi mayor consideración:</w:t>
      </w:r>
    </w:p>
    <w:p w14:paraId="625CBA25" w14:textId="3FCB7BB0" w:rsidR="00CE0DD8" w:rsidRPr="006B6155" w:rsidRDefault="00CE0DD8" w:rsidP="00DC6339">
      <w:pPr>
        <w:spacing w:before="100" w:beforeAutospacing="1" w:after="100" w:afterAutospacing="1" w:line="276" w:lineRule="auto"/>
        <w:ind w:right="-476"/>
        <w:jc w:val="both"/>
        <w:rPr>
          <w:sz w:val="20"/>
        </w:rPr>
      </w:pPr>
      <w:r w:rsidRPr="006B6155">
        <w:rPr>
          <w:sz w:val="20"/>
          <w:lang w:val="es-ES"/>
        </w:rPr>
        <w:t>Tengo el agrado de dirigirme a Uds., en mi</w:t>
      </w:r>
      <w:r w:rsidRPr="009A546A">
        <w:rPr>
          <w:sz w:val="20"/>
          <w:lang w:val="es-ES"/>
        </w:rPr>
        <w:t xml:space="preserve"> carácter de</w:t>
      </w:r>
      <w:r w:rsidR="000C3FDE" w:rsidRPr="006B6155">
        <w:rPr>
          <w:sz w:val="20"/>
        </w:rPr>
        <w:t xml:space="preserve"> </w:t>
      </w:r>
      <w:r w:rsidR="00473AF7">
        <w:rPr>
          <w:sz w:val="20"/>
        </w:rPr>
        <w:t>subdelegado</w:t>
      </w:r>
      <w:r w:rsidR="00473AF7" w:rsidRPr="006B6155">
        <w:rPr>
          <w:sz w:val="20"/>
        </w:rPr>
        <w:t xml:space="preserve"> </w:t>
      </w:r>
      <w:r w:rsidR="000C3FDE" w:rsidRPr="006B6155">
        <w:rPr>
          <w:sz w:val="20"/>
        </w:rPr>
        <w:t xml:space="preserve">de </w:t>
      </w:r>
      <w:r w:rsidR="00037571" w:rsidRPr="006B6155">
        <w:rPr>
          <w:sz w:val="20"/>
        </w:rPr>
        <w:t xml:space="preserve">CRESUD SOCIEDAD ANÓNIMA COMERCIAL, INMOBILIARIA, FINANCIERA Y AGROPECUARIA </w:t>
      </w:r>
      <w:r w:rsidR="000C3FDE" w:rsidRPr="006B6155">
        <w:rPr>
          <w:sz w:val="20"/>
        </w:rPr>
        <w:t>(la “</w:t>
      </w:r>
      <w:r w:rsidR="000C3FDE" w:rsidRPr="006B6155">
        <w:rPr>
          <w:sz w:val="20"/>
          <w:u w:val="single"/>
        </w:rPr>
        <w:t>Sociedad</w:t>
      </w:r>
      <w:r w:rsidR="000C3FDE" w:rsidRPr="006B6155">
        <w:rPr>
          <w:sz w:val="20"/>
        </w:rPr>
        <w:t>”</w:t>
      </w:r>
      <w:r w:rsidR="00252908" w:rsidRPr="006B6155">
        <w:rPr>
          <w:sz w:val="20"/>
        </w:rPr>
        <w:t xml:space="preserve"> o “</w:t>
      </w:r>
      <w:proofErr w:type="spellStart"/>
      <w:r w:rsidR="00037571" w:rsidRPr="006B6155">
        <w:rPr>
          <w:sz w:val="20"/>
          <w:u w:val="single"/>
        </w:rPr>
        <w:t>Cresud</w:t>
      </w:r>
      <w:proofErr w:type="spellEnd"/>
      <w:r w:rsidR="00252908" w:rsidRPr="006B6155">
        <w:rPr>
          <w:sz w:val="20"/>
        </w:rPr>
        <w:t>” o la “</w:t>
      </w:r>
      <w:r w:rsidR="00252908" w:rsidRPr="006B6155">
        <w:rPr>
          <w:sz w:val="20"/>
          <w:u w:val="single"/>
        </w:rPr>
        <w:t>Compañía</w:t>
      </w:r>
      <w:r w:rsidR="00252908" w:rsidRPr="006B6155">
        <w:rPr>
          <w:sz w:val="20"/>
        </w:rPr>
        <w:t>”</w:t>
      </w:r>
      <w:r w:rsidR="000C3FDE" w:rsidRPr="006B6155">
        <w:rPr>
          <w:sz w:val="20"/>
        </w:rPr>
        <w:t xml:space="preserve">), con domicilio en la calle </w:t>
      </w:r>
      <w:r w:rsidR="00037571" w:rsidRPr="006B6155">
        <w:rPr>
          <w:sz w:val="20"/>
        </w:rPr>
        <w:t xml:space="preserve">Carlos </w:t>
      </w:r>
      <w:proofErr w:type="spellStart"/>
      <w:r w:rsidR="00037571" w:rsidRPr="006B6155">
        <w:rPr>
          <w:sz w:val="20"/>
        </w:rPr>
        <w:t>Della</w:t>
      </w:r>
      <w:proofErr w:type="spellEnd"/>
      <w:r w:rsidR="00037571" w:rsidRPr="006B6155">
        <w:rPr>
          <w:sz w:val="20"/>
        </w:rPr>
        <w:t xml:space="preserve"> </w:t>
      </w:r>
      <w:proofErr w:type="spellStart"/>
      <w:r w:rsidR="00037571" w:rsidRPr="006B6155">
        <w:rPr>
          <w:sz w:val="20"/>
        </w:rPr>
        <w:t>Paolera</w:t>
      </w:r>
      <w:proofErr w:type="spellEnd"/>
      <w:r w:rsidR="00037571" w:rsidRPr="006B6155">
        <w:rPr>
          <w:sz w:val="20"/>
        </w:rPr>
        <w:t xml:space="preserve"> 261, Piso 9, (C1001ADA)</w:t>
      </w:r>
      <w:r w:rsidR="002F42D6" w:rsidRPr="006B6155">
        <w:rPr>
          <w:sz w:val="20"/>
        </w:rPr>
        <w:t>,</w:t>
      </w:r>
      <w:r w:rsidR="00037571" w:rsidRPr="006B6155">
        <w:rPr>
          <w:sz w:val="20"/>
        </w:rPr>
        <w:t xml:space="preserve"> Ciudad Autónoma de Buenos Aires</w:t>
      </w:r>
      <w:r w:rsidR="000C3FDE" w:rsidRPr="006B6155">
        <w:rPr>
          <w:sz w:val="20"/>
        </w:rPr>
        <w:t xml:space="preserve">, </w:t>
      </w:r>
      <w:bookmarkStart w:id="0" w:name="_Hlk55159380"/>
      <w:r w:rsidR="00E82773" w:rsidRPr="006B6155">
        <w:rPr>
          <w:sz w:val="20"/>
        </w:rPr>
        <w:t xml:space="preserve">en relación con </w:t>
      </w:r>
      <w:r w:rsidRPr="006B6155">
        <w:rPr>
          <w:sz w:val="20"/>
        </w:rPr>
        <w:t xml:space="preserve">las </w:t>
      </w:r>
      <w:r w:rsidR="00DC7D7F" w:rsidRPr="006B6155">
        <w:rPr>
          <w:sz w:val="20"/>
        </w:rPr>
        <w:t>O</w:t>
      </w:r>
      <w:r w:rsidRPr="006B6155">
        <w:rPr>
          <w:sz w:val="20"/>
        </w:rPr>
        <w:t xml:space="preserve">bligaciones </w:t>
      </w:r>
      <w:r w:rsidR="00DC7D7F" w:rsidRPr="006B6155">
        <w:rPr>
          <w:sz w:val="20"/>
        </w:rPr>
        <w:t>N</w:t>
      </w:r>
      <w:r w:rsidRPr="006B6155">
        <w:rPr>
          <w:sz w:val="20"/>
        </w:rPr>
        <w:t xml:space="preserve">egociables </w:t>
      </w:r>
      <w:r w:rsidR="00DC7D7F" w:rsidRPr="006B6155">
        <w:rPr>
          <w:sz w:val="20"/>
        </w:rPr>
        <w:t>C</w:t>
      </w:r>
      <w:r w:rsidRPr="006B6155">
        <w:rPr>
          <w:sz w:val="20"/>
        </w:rPr>
        <w:t xml:space="preserve">lase XXXIII, a ser emitidas por </w:t>
      </w:r>
      <w:proofErr w:type="spellStart"/>
      <w:r w:rsidRPr="006B6155">
        <w:rPr>
          <w:sz w:val="20"/>
        </w:rPr>
        <w:t>Cresud</w:t>
      </w:r>
      <w:proofErr w:type="spellEnd"/>
      <w:r w:rsidRPr="006B6155">
        <w:rPr>
          <w:sz w:val="20"/>
        </w:rPr>
        <w:t>, en el marco del Programa Global de Emisión de Obligaciones Negociables Simples (no convertibles en acciones) por un valor nominal de hasta USD 500.000.0000 (Dólares Estadounidenses quinientos millones) (o su equivalente en otras monedas o unidades de valor) (el “</w:t>
      </w:r>
      <w:r w:rsidRPr="006B6155">
        <w:rPr>
          <w:sz w:val="20"/>
          <w:u w:val="single"/>
        </w:rPr>
        <w:t>Programa</w:t>
      </w:r>
      <w:r w:rsidRPr="006B6155">
        <w:rPr>
          <w:sz w:val="20"/>
        </w:rPr>
        <w:t>”), de acuerdo a los términos y condiciones establecidos en: (i) el Prospecto del Programa de fecha 23 de octubre de 2020 (el “</w:t>
      </w:r>
      <w:r w:rsidRPr="006B6155">
        <w:rPr>
          <w:sz w:val="20"/>
          <w:u w:val="single"/>
        </w:rPr>
        <w:t>Prospecto</w:t>
      </w:r>
      <w:r w:rsidRPr="006B6155">
        <w:rPr>
          <w:sz w:val="20"/>
        </w:rPr>
        <w:t>”); (ii) el suplemento de prospecto de las Obligaciones Negociables</w:t>
      </w:r>
      <w:r w:rsidR="00772883" w:rsidRPr="006B6155">
        <w:rPr>
          <w:sz w:val="20"/>
        </w:rPr>
        <w:t xml:space="preserve"> Clase XXXIII</w:t>
      </w:r>
      <w:r w:rsidRPr="006B6155">
        <w:rPr>
          <w:sz w:val="20"/>
        </w:rPr>
        <w:t xml:space="preserve"> de fecha 11 de junio de 2021 (el “</w:t>
      </w:r>
      <w:r w:rsidRPr="006B6155">
        <w:rPr>
          <w:sz w:val="20"/>
          <w:u w:val="single"/>
        </w:rPr>
        <w:t>Suplemento de Prospecto</w:t>
      </w:r>
      <w:r w:rsidRPr="006B6155">
        <w:rPr>
          <w:sz w:val="20"/>
        </w:rPr>
        <w:t>”); y (iii) en el aviso de suscripción de fecha 11 de junio de 2021 (el “</w:t>
      </w:r>
      <w:r w:rsidRPr="006B6155">
        <w:rPr>
          <w:sz w:val="20"/>
          <w:u w:val="single"/>
        </w:rPr>
        <w:t>Aviso de Suscripción</w:t>
      </w:r>
      <w:r w:rsidRPr="006B6155">
        <w:rPr>
          <w:sz w:val="20"/>
        </w:rPr>
        <w:t>”),</w:t>
      </w:r>
      <w:r w:rsidR="00DC6339" w:rsidRPr="006B6155">
        <w:rPr>
          <w:sz w:val="20"/>
        </w:rPr>
        <w:t xml:space="preserve"> </w:t>
      </w:r>
      <w:r w:rsidR="00E82773" w:rsidRPr="006B6155">
        <w:rPr>
          <w:sz w:val="20"/>
        </w:rPr>
        <w:t>publicado</w:t>
      </w:r>
      <w:r w:rsidR="00DC6339" w:rsidRPr="006B6155">
        <w:rPr>
          <w:sz w:val="20"/>
        </w:rPr>
        <w:t>s</w:t>
      </w:r>
      <w:r w:rsidR="00E82773" w:rsidRPr="006B6155">
        <w:rPr>
          <w:sz w:val="20"/>
        </w:rPr>
        <w:t xml:space="preserve"> en la Autopista de la Información Financiera de la Comisión Nacional de Valores (“</w:t>
      </w:r>
      <w:r w:rsidR="00E82773" w:rsidRPr="006B6155">
        <w:rPr>
          <w:sz w:val="20"/>
          <w:u w:val="single"/>
        </w:rPr>
        <w:t>AIF</w:t>
      </w:r>
      <w:r w:rsidR="00E82773" w:rsidRPr="006B6155">
        <w:rPr>
          <w:sz w:val="20"/>
        </w:rPr>
        <w:t>”), el Boletín Diario de la Bolsa de Comercio de Buenos Aires (la “</w:t>
      </w:r>
      <w:r w:rsidR="00E82773" w:rsidRPr="006B6155">
        <w:rPr>
          <w:sz w:val="20"/>
          <w:u w:val="single"/>
        </w:rPr>
        <w:t>BCBA</w:t>
      </w:r>
      <w:r w:rsidR="00E82773" w:rsidRPr="006B6155">
        <w:rPr>
          <w:sz w:val="20"/>
        </w:rPr>
        <w:t>”) y en la página web del MAE (www.mae.com.ar) (la “</w:t>
      </w:r>
      <w:r w:rsidR="00E82773" w:rsidRPr="006B6155">
        <w:rPr>
          <w:sz w:val="20"/>
          <w:u w:val="single"/>
        </w:rPr>
        <w:t>Página Web del MAE</w:t>
      </w:r>
      <w:r w:rsidR="00E82773" w:rsidRPr="006B6155">
        <w:rPr>
          <w:sz w:val="20"/>
        </w:rPr>
        <w:t>”)</w:t>
      </w:r>
      <w:r w:rsidR="00037571" w:rsidRPr="006B6155">
        <w:rPr>
          <w:sz w:val="20"/>
        </w:rPr>
        <w:t xml:space="preserve"> con fecha 11</w:t>
      </w:r>
      <w:r w:rsidR="00E82773" w:rsidRPr="006B6155">
        <w:rPr>
          <w:sz w:val="20"/>
        </w:rPr>
        <w:t xml:space="preserve"> de </w:t>
      </w:r>
      <w:r w:rsidR="00037571" w:rsidRPr="006B6155">
        <w:rPr>
          <w:sz w:val="20"/>
        </w:rPr>
        <w:t>junio de 2021</w:t>
      </w:r>
      <w:r w:rsidRPr="006B6155">
        <w:rPr>
          <w:sz w:val="20"/>
        </w:rPr>
        <w:t>. Todos los términos en mayúscula que no estén definidos en el presente tienen el significado que se les asigna en el Suplemento de Prospecto.</w:t>
      </w:r>
    </w:p>
    <w:bookmarkEnd w:id="0"/>
    <w:p w14:paraId="17470C5F" w14:textId="420E2306" w:rsidR="00DC6339" w:rsidRPr="006B6155" w:rsidRDefault="00CE0DD8" w:rsidP="00DC6339">
      <w:pPr>
        <w:spacing w:before="100" w:beforeAutospacing="1" w:after="100" w:afterAutospacing="1" w:line="276" w:lineRule="auto"/>
        <w:ind w:right="-476"/>
        <w:jc w:val="both"/>
        <w:rPr>
          <w:sz w:val="20"/>
        </w:rPr>
      </w:pPr>
      <w:r w:rsidRPr="006B6155">
        <w:rPr>
          <w:sz w:val="20"/>
        </w:rPr>
        <w:t xml:space="preserve">En este contexto, se </w:t>
      </w:r>
      <w:r w:rsidR="00DC6339" w:rsidRPr="006B6155">
        <w:rPr>
          <w:sz w:val="20"/>
        </w:rPr>
        <w:t xml:space="preserve">anuncia </w:t>
      </w:r>
      <w:r w:rsidR="00DC6339" w:rsidRPr="006B6155">
        <w:rPr>
          <w:snapToGrid w:val="0"/>
          <w:sz w:val="20"/>
        </w:rPr>
        <w:t>al público inversor</w:t>
      </w:r>
      <w:r w:rsidR="0019799F" w:rsidRPr="006B6155">
        <w:rPr>
          <w:snapToGrid w:val="0"/>
          <w:sz w:val="20"/>
        </w:rPr>
        <w:t xml:space="preserve"> y</w:t>
      </w:r>
      <w:r w:rsidRPr="006B6155">
        <w:rPr>
          <w:snapToGrid w:val="0"/>
          <w:sz w:val="20"/>
        </w:rPr>
        <w:t>,</w:t>
      </w:r>
      <w:r w:rsidR="0019799F" w:rsidRPr="006B6155">
        <w:rPr>
          <w:snapToGrid w:val="0"/>
          <w:sz w:val="20"/>
        </w:rPr>
        <w:t xml:space="preserve"> particularmente</w:t>
      </w:r>
      <w:r w:rsidRPr="006B6155">
        <w:rPr>
          <w:snapToGrid w:val="0"/>
          <w:sz w:val="20"/>
        </w:rPr>
        <w:t>,</w:t>
      </w:r>
      <w:r w:rsidR="0019799F" w:rsidRPr="006B6155">
        <w:rPr>
          <w:snapToGrid w:val="0"/>
          <w:sz w:val="20"/>
        </w:rPr>
        <w:t xml:space="preserve"> a los Tenedores Elegibles</w:t>
      </w:r>
      <w:r w:rsidR="00DC6339" w:rsidRPr="006B6155">
        <w:rPr>
          <w:snapToGrid w:val="0"/>
          <w:sz w:val="20"/>
        </w:rPr>
        <w:t xml:space="preserve"> que, de conformidad con lo </w:t>
      </w:r>
      <w:r w:rsidR="00D61B96" w:rsidRPr="006B6155">
        <w:rPr>
          <w:snapToGrid w:val="0"/>
          <w:sz w:val="20"/>
        </w:rPr>
        <w:t>previsto</w:t>
      </w:r>
      <w:r w:rsidR="00DC6339" w:rsidRPr="006B6155">
        <w:rPr>
          <w:snapToGrid w:val="0"/>
          <w:sz w:val="20"/>
        </w:rPr>
        <w:t xml:space="preserve"> en el Suplemento de Prospecto, la Compañía ha resuelto:</w:t>
      </w:r>
    </w:p>
    <w:p w14:paraId="1BB2605F" w14:textId="42209A02" w:rsidR="00DC6339" w:rsidRPr="006B6155" w:rsidRDefault="00DC6339" w:rsidP="00DC6339">
      <w:pPr>
        <w:pStyle w:val="ListParagraph"/>
        <w:numPr>
          <w:ilvl w:val="0"/>
          <w:numId w:val="29"/>
        </w:numPr>
        <w:spacing w:before="100" w:beforeAutospacing="1" w:after="100" w:afterAutospacing="1" w:line="276" w:lineRule="auto"/>
        <w:ind w:right="-476"/>
        <w:jc w:val="both"/>
        <w:rPr>
          <w:sz w:val="20"/>
        </w:rPr>
      </w:pPr>
      <w:r w:rsidRPr="006B6155">
        <w:rPr>
          <w:snapToGrid w:val="0"/>
          <w:sz w:val="20"/>
        </w:rPr>
        <w:t xml:space="preserve">NO ACEPTAR LAS SOLICITUDES DE CANJE PRESENTADAS </w:t>
      </w:r>
      <w:r w:rsidR="00AD7FC3" w:rsidRPr="006B6155">
        <w:rPr>
          <w:snapToGrid w:val="0"/>
          <w:sz w:val="20"/>
        </w:rPr>
        <w:t>POR LO</w:t>
      </w:r>
      <w:r w:rsidR="001F2A77">
        <w:rPr>
          <w:snapToGrid w:val="0"/>
          <w:sz w:val="20"/>
        </w:rPr>
        <w:t>S</w:t>
      </w:r>
      <w:r w:rsidR="00AD7FC3" w:rsidRPr="006B6155">
        <w:rPr>
          <w:snapToGrid w:val="0"/>
          <w:sz w:val="20"/>
        </w:rPr>
        <w:t xml:space="preserve"> TENEDORES ELEGIBLES PARA SUSCRIBIR</w:t>
      </w:r>
      <w:r w:rsidR="002A7A05" w:rsidRPr="006B6155">
        <w:rPr>
          <w:snapToGrid w:val="0"/>
          <w:sz w:val="20"/>
        </w:rPr>
        <w:t xml:space="preserve"> LAS OBLIGACIONES NEGOCIABLES CLASE XXXIII MEDIANTE</w:t>
      </w:r>
      <w:r w:rsidRPr="006B6155">
        <w:rPr>
          <w:snapToGrid w:val="0"/>
          <w:sz w:val="20"/>
        </w:rPr>
        <w:t xml:space="preserve"> LA OPCIÓN BASE, QUEDANDO ESTAS AUTOMÁTICAMENTE SIN EFECTO. POR LO TANTO,</w:t>
      </w:r>
      <w:r w:rsidR="00F433B4">
        <w:rPr>
          <w:snapToGrid w:val="0"/>
          <w:sz w:val="20"/>
        </w:rPr>
        <w:t xml:space="preserve"> CAJA DE VALORES S.A. DEVOL</w:t>
      </w:r>
      <w:r w:rsidR="000E1AF1">
        <w:rPr>
          <w:snapToGrid w:val="0"/>
          <w:sz w:val="20"/>
        </w:rPr>
        <w:t>V</w:t>
      </w:r>
      <w:r w:rsidR="00F433B4">
        <w:rPr>
          <w:snapToGrid w:val="0"/>
          <w:sz w:val="20"/>
        </w:rPr>
        <w:t xml:space="preserve">ERÁ, </w:t>
      </w:r>
      <w:r w:rsidR="00F433B4">
        <w:rPr>
          <w:sz w:val="20"/>
        </w:rPr>
        <w:t>EL DÍA 30 DE JUNIO DE 2021</w:t>
      </w:r>
      <w:r w:rsidR="00F433B4">
        <w:rPr>
          <w:sz w:val="20"/>
        </w:rPr>
        <w:t>,</w:t>
      </w:r>
      <w:r w:rsidR="00F433B4">
        <w:rPr>
          <w:snapToGrid w:val="0"/>
          <w:sz w:val="20"/>
        </w:rPr>
        <w:t xml:space="preserve"> </w:t>
      </w:r>
      <w:r w:rsidR="00F433B4">
        <w:rPr>
          <w:sz w:val="20"/>
        </w:rPr>
        <w:t xml:space="preserve">LAS OBLIGACIONES NEGOCIABLES CLASE XXV </w:t>
      </w:r>
      <w:r w:rsidR="00F433B4">
        <w:rPr>
          <w:sz w:val="20"/>
        </w:rPr>
        <w:t>A</w:t>
      </w:r>
      <w:r w:rsidRPr="006B6155">
        <w:rPr>
          <w:snapToGrid w:val="0"/>
          <w:sz w:val="20"/>
        </w:rPr>
        <w:t xml:space="preserve"> </w:t>
      </w:r>
      <w:r w:rsidRPr="006B6155">
        <w:rPr>
          <w:sz w:val="20"/>
        </w:rPr>
        <w:t xml:space="preserve">LOS TENEDORES </w:t>
      </w:r>
      <w:r w:rsidR="000F30D4" w:rsidRPr="006B6155">
        <w:rPr>
          <w:sz w:val="20"/>
        </w:rPr>
        <w:t>QUE HUBIESEN PRESENTADO TALES SOLICITUDES DE CANJE</w:t>
      </w:r>
      <w:r w:rsidRPr="006B6155">
        <w:rPr>
          <w:sz w:val="20"/>
        </w:rPr>
        <w:t>,</w:t>
      </w:r>
      <w:r w:rsidR="00F433B4">
        <w:rPr>
          <w:sz w:val="20"/>
        </w:rPr>
        <w:t xml:space="preserve"> Y LOS MISMOS</w:t>
      </w:r>
      <w:r w:rsidRPr="006B6155">
        <w:rPr>
          <w:sz w:val="20"/>
        </w:rPr>
        <w:t xml:space="preserve"> RECIBIRÁN EL PAGO DEL 100% DEL CAPITAL MÁS </w:t>
      </w:r>
      <w:r w:rsidR="00143D99" w:rsidRPr="006B6155">
        <w:rPr>
          <w:sz w:val="20"/>
        </w:rPr>
        <w:t xml:space="preserve">LOS </w:t>
      </w:r>
      <w:r w:rsidRPr="006B6155">
        <w:rPr>
          <w:sz w:val="20"/>
        </w:rPr>
        <w:t>INTERESES DEVENGADOS</w:t>
      </w:r>
      <w:r w:rsidR="00E65C42" w:rsidRPr="006B6155">
        <w:rPr>
          <w:sz w:val="20"/>
        </w:rPr>
        <w:t xml:space="preserve"> E IMPAGOS</w:t>
      </w:r>
      <w:r w:rsidR="000F30D4" w:rsidRPr="006B6155">
        <w:rPr>
          <w:sz w:val="20"/>
        </w:rPr>
        <w:t xml:space="preserve"> DE LAS OBLIGACIONES NEGOCIABLES CLASE XXV</w:t>
      </w:r>
      <w:r w:rsidR="00B57FC1">
        <w:rPr>
          <w:sz w:val="20"/>
        </w:rPr>
        <w:t xml:space="preserve"> A TRAVÉS DE CAJA DE VALORES S.A.</w:t>
      </w:r>
      <w:r w:rsidR="00E65C42" w:rsidRPr="006B6155">
        <w:rPr>
          <w:sz w:val="20"/>
        </w:rPr>
        <w:t xml:space="preserve">, </w:t>
      </w:r>
      <w:r w:rsidRPr="006B6155">
        <w:rPr>
          <w:sz w:val="20"/>
        </w:rPr>
        <w:t xml:space="preserve">A MÁS TARDAR EL </w:t>
      </w:r>
      <w:r w:rsidR="00AD7FC3" w:rsidRPr="006B6155">
        <w:rPr>
          <w:sz w:val="20"/>
        </w:rPr>
        <w:t xml:space="preserve">DÍA </w:t>
      </w:r>
      <w:r w:rsidRPr="006B6155">
        <w:rPr>
          <w:sz w:val="20"/>
        </w:rPr>
        <w:t>1</w:t>
      </w:r>
      <w:r w:rsidR="00B57FC1">
        <w:rPr>
          <w:sz w:val="20"/>
        </w:rPr>
        <w:t>2</w:t>
      </w:r>
      <w:r w:rsidRPr="006B6155">
        <w:rPr>
          <w:sz w:val="20"/>
        </w:rPr>
        <w:t xml:space="preserve"> DE JULIO DE 2021</w:t>
      </w:r>
      <w:r w:rsidR="00E65C42" w:rsidRPr="006B6155">
        <w:rPr>
          <w:sz w:val="20"/>
        </w:rPr>
        <w:t>,</w:t>
      </w:r>
      <w:r w:rsidRPr="006B6155">
        <w:rPr>
          <w:sz w:val="20"/>
        </w:rPr>
        <w:t xml:space="preserve"> DE ACUERDO A LOS T</w:t>
      </w:r>
      <w:r w:rsidR="00473AF7">
        <w:rPr>
          <w:sz w:val="20"/>
        </w:rPr>
        <w:t>É</w:t>
      </w:r>
      <w:r w:rsidRPr="006B6155">
        <w:rPr>
          <w:sz w:val="20"/>
        </w:rPr>
        <w:t>RMINOS Y CONDICIONES DE EMISI</w:t>
      </w:r>
      <w:r w:rsidR="00473AF7">
        <w:rPr>
          <w:sz w:val="20"/>
        </w:rPr>
        <w:t>Ó</w:t>
      </w:r>
      <w:r w:rsidRPr="006B6155">
        <w:rPr>
          <w:sz w:val="20"/>
        </w:rPr>
        <w:t>N DE LAS OBLIGACIONES NEGOCIABLES CLASE XXV</w:t>
      </w:r>
      <w:r w:rsidR="00AD7FC3" w:rsidRPr="006B6155">
        <w:rPr>
          <w:sz w:val="20"/>
        </w:rPr>
        <w:t>.</w:t>
      </w:r>
    </w:p>
    <w:p w14:paraId="2527D768" w14:textId="2614C4E8" w:rsidR="00DC6339" w:rsidRPr="006B6155" w:rsidRDefault="00DC6339" w:rsidP="00DC6339">
      <w:pPr>
        <w:pStyle w:val="ListParagraph"/>
        <w:numPr>
          <w:ilvl w:val="0"/>
          <w:numId w:val="29"/>
        </w:numPr>
        <w:spacing w:before="100" w:beforeAutospacing="1" w:after="100" w:afterAutospacing="1" w:line="276" w:lineRule="auto"/>
        <w:ind w:right="-476"/>
        <w:jc w:val="both"/>
        <w:rPr>
          <w:sz w:val="20"/>
        </w:rPr>
      </w:pPr>
      <w:r w:rsidRPr="006B6155">
        <w:rPr>
          <w:snapToGrid w:val="0"/>
          <w:sz w:val="20"/>
        </w:rPr>
        <w:t xml:space="preserve">PRORROGAR LA FECHA DE EXPIRACIÓN </w:t>
      </w:r>
      <w:r w:rsidR="00143D99" w:rsidRPr="006B6155">
        <w:rPr>
          <w:snapToGrid w:val="0"/>
          <w:sz w:val="20"/>
        </w:rPr>
        <w:t xml:space="preserve">HASTA EL DÍA 2 DE JULIO DE 2021 A LAS 20 HORAS, </w:t>
      </w:r>
      <w:r w:rsidRPr="006B6155">
        <w:rPr>
          <w:snapToGrid w:val="0"/>
          <w:sz w:val="20"/>
        </w:rPr>
        <w:t xml:space="preserve">EXCLUSIVAMENTE PARA AQUELLOS TENEDORES QUE HUBIESEN </w:t>
      </w:r>
      <w:r w:rsidR="00AD7FC3" w:rsidRPr="006B6155">
        <w:rPr>
          <w:snapToGrid w:val="0"/>
          <w:sz w:val="20"/>
        </w:rPr>
        <w:t>SUSCRIPTO LAS OBLIGACIONES NEGOCIABLES CLASE XXXIII</w:t>
      </w:r>
      <w:r w:rsidR="00D61B96" w:rsidRPr="006B6155">
        <w:rPr>
          <w:snapToGrid w:val="0"/>
          <w:sz w:val="20"/>
        </w:rPr>
        <w:t>,</w:t>
      </w:r>
      <w:r w:rsidR="00AD7FC3" w:rsidRPr="006B6155">
        <w:rPr>
          <w:snapToGrid w:val="0"/>
          <w:sz w:val="20"/>
        </w:rPr>
        <w:t xml:space="preserve"> MEDIANTE</w:t>
      </w:r>
      <w:r w:rsidRPr="006B6155">
        <w:rPr>
          <w:snapToGrid w:val="0"/>
          <w:sz w:val="20"/>
        </w:rPr>
        <w:t xml:space="preserve"> LA OPCIÓN PAR</w:t>
      </w:r>
      <w:r w:rsidR="00143D99" w:rsidRPr="006B6155">
        <w:rPr>
          <w:snapToGrid w:val="0"/>
          <w:sz w:val="20"/>
        </w:rPr>
        <w:t xml:space="preserve"> </w:t>
      </w:r>
      <w:r w:rsidR="002F42D6" w:rsidRPr="006B6155">
        <w:rPr>
          <w:snapToGrid w:val="0"/>
          <w:sz w:val="20"/>
        </w:rPr>
        <w:t xml:space="preserve">EN O ANTES DEL </w:t>
      </w:r>
      <w:r w:rsidR="00143D99" w:rsidRPr="006B6155">
        <w:rPr>
          <w:snapToGrid w:val="0"/>
          <w:sz w:val="20"/>
        </w:rPr>
        <w:t>28 DE JUNIO DE 2021</w:t>
      </w:r>
      <w:r w:rsidR="00AD7FC3" w:rsidRPr="006B6155">
        <w:rPr>
          <w:snapToGrid w:val="0"/>
          <w:sz w:val="20"/>
        </w:rPr>
        <w:t xml:space="preserve">, A LOS FINES DE </w:t>
      </w:r>
      <w:r w:rsidR="00143D99" w:rsidRPr="006B6155">
        <w:rPr>
          <w:snapToGrid w:val="0"/>
          <w:sz w:val="20"/>
        </w:rPr>
        <w:t>OTORGARLE A TALES TENEDORES</w:t>
      </w:r>
      <w:r w:rsidR="00AD7FC3" w:rsidRPr="006B6155">
        <w:rPr>
          <w:snapToGrid w:val="0"/>
          <w:sz w:val="20"/>
        </w:rPr>
        <w:t xml:space="preserve"> LA OPORTUNIDAD DE</w:t>
      </w:r>
      <w:r w:rsidR="00D61B96" w:rsidRPr="006B6155">
        <w:rPr>
          <w:snapToGrid w:val="0"/>
          <w:sz w:val="20"/>
        </w:rPr>
        <w:t xml:space="preserve"> RATIFICAR O</w:t>
      </w:r>
      <w:r w:rsidR="00AD7FC3" w:rsidRPr="006B6155">
        <w:rPr>
          <w:snapToGrid w:val="0"/>
          <w:sz w:val="20"/>
        </w:rPr>
        <w:t xml:space="preserve"> RETIRAR</w:t>
      </w:r>
      <w:r w:rsidR="00CE0DD8" w:rsidRPr="006B6155">
        <w:rPr>
          <w:snapToGrid w:val="0"/>
          <w:sz w:val="20"/>
        </w:rPr>
        <w:t xml:space="preserve"> </w:t>
      </w:r>
      <w:r w:rsidR="00AD7FC3" w:rsidRPr="006B6155">
        <w:rPr>
          <w:snapToGrid w:val="0"/>
          <w:sz w:val="20"/>
        </w:rPr>
        <w:t>SUS OFERTAS. SE ACLARA QUE EL RETIRO DE LAS OFERTAS IMPLICA LA P</w:t>
      </w:r>
      <w:r w:rsidR="00473AF7">
        <w:rPr>
          <w:snapToGrid w:val="0"/>
          <w:sz w:val="20"/>
        </w:rPr>
        <w:t>É</w:t>
      </w:r>
      <w:r w:rsidR="00AD7FC3" w:rsidRPr="006B6155">
        <w:rPr>
          <w:snapToGrid w:val="0"/>
          <w:sz w:val="20"/>
        </w:rPr>
        <w:t>RDIDA DE CUALQUIER CONTRAPRESTACIÓN CORRESPONDIENTE A LAS OBLIGACIONES NEGOCIABLES CLASE XXXIII.</w:t>
      </w:r>
    </w:p>
    <w:p w14:paraId="047F81C8" w14:textId="0803C8C2" w:rsidR="00DC6339" w:rsidRPr="006B6155" w:rsidRDefault="00DC6339" w:rsidP="00DC6339">
      <w:pPr>
        <w:pStyle w:val="ListParagraph"/>
        <w:numPr>
          <w:ilvl w:val="0"/>
          <w:numId w:val="29"/>
        </w:numPr>
        <w:spacing w:before="100" w:beforeAutospacing="1" w:after="100" w:afterAutospacing="1" w:line="276" w:lineRule="auto"/>
        <w:ind w:right="-476"/>
        <w:jc w:val="both"/>
        <w:rPr>
          <w:sz w:val="20"/>
        </w:rPr>
      </w:pPr>
      <w:r w:rsidRPr="006B6155">
        <w:rPr>
          <w:snapToGrid w:val="0"/>
          <w:sz w:val="20"/>
        </w:rPr>
        <w:lastRenderedPageBreak/>
        <w:t>MODIFICAR LA TASA DE INTERÉS</w:t>
      </w:r>
      <w:r w:rsidR="000D4C20" w:rsidRPr="006B6155">
        <w:rPr>
          <w:snapToGrid w:val="0"/>
          <w:sz w:val="20"/>
        </w:rPr>
        <w:t xml:space="preserve"> FIJA</w:t>
      </w:r>
      <w:r w:rsidRPr="006B6155">
        <w:rPr>
          <w:snapToGrid w:val="0"/>
          <w:sz w:val="20"/>
        </w:rPr>
        <w:t xml:space="preserve"> DE LAS OBLIGACIONES NEGOCIABLES CLASE XXXIII</w:t>
      </w:r>
      <w:r w:rsidR="000D4C20" w:rsidRPr="006B6155">
        <w:rPr>
          <w:snapToGrid w:val="0"/>
          <w:sz w:val="20"/>
        </w:rPr>
        <w:t xml:space="preserve">, DE FORMA TAL QUE LA </w:t>
      </w:r>
      <w:r w:rsidR="00143D99" w:rsidRPr="006B6155">
        <w:rPr>
          <w:snapToGrid w:val="0"/>
          <w:sz w:val="20"/>
        </w:rPr>
        <w:t>MISMA</w:t>
      </w:r>
      <w:r w:rsidR="00E844BA" w:rsidRPr="006B6155">
        <w:rPr>
          <w:snapToGrid w:val="0"/>
          <w:sz w:val="20"/>
        </w:rPr>
        <w:t xml:space="preserve"> </w:t>
      </w:r>
      <w:r w:rsidR="00143D99" w:rsidRPr="006B6155">
        <w:rPr>
          <w:snapToGrid w:val="0"/>
          <w:sz w:val="20"/>
        </w:rPr>
        <w:t>SERÁ</w:t>
      </w:r>
      <w:r w:rsidR="000D4C20" w:rsidRPr="006B6155">
        <w:rPr>
          <w:snapToGrid w:val="0"/>
          <w:sz w:val="20"/>
        </w:rPr>
        <w:t xml:space="preserve"> DEL </w:t>
      </w:r>
      <w:r w:rsidRPr="006B6155">
        <w:rPr>
          <w:snapToGrid w:val="0"/>
          <w:sz w:val="20"/>
        </w:rPr>
        <w:t>6,99%</w:t>
      </w:r>
      <w:r w:rsidR="00143D99" w:rsidRPr="006B6155">
        <w:rPr>
          <w:snapToGrid w:val="0"/>
          <w:sz w:val="20"/>
        </w:rPr>
        <w:t xml:space="preserve"> NOMINAL ANUAL</w:t>
      </w:r>
      <w:r w:rsidRPr="006B6155">
        <w:rPr>
          <w:snapToGrid w:val="0"/>
          <w:sz w:val="20"/>
        </w:rPr>
        <w:t>, TAL COMO SE ESTABLECE EN LA ADENDA</w:t>
      </w:r>
      <w:r w:rsidR="00143D99" w:rsidRPr="006B6155">
        <w:rPr>
          <w:snapToGrid w:val="0"/>
          <w:sz w:val="20"/>
        </w:rPr>
        <w:t xml:space="preserve"> (SEGÚN SE DEFINE A CONTINUACIÓN)</w:t>
      </w:r>
      <w:r w:rsidRPr="006B6155">
        <w:rPr>
          <w:snapToGrid w:val="0"/>
          <w:sz w:val="20"/>
        </w:rPr>
        <w:t xml:space="preserve">. </w:t>
      </w:r>
    </w:p>
    <w:p w14:paraId="313D0602" w14:textId="336EB662" w:rsidR="000D4C20" w:rsidRPr="006B6155" w:rsidRDefault="000D4C20" w:rsidP="00E844BA">
      <w:pPr>
        <w:pStyle w:val="ListParagraph"/>
        <w:numPr>
          <w:ilvl w:val="0"/>
          <w:numId w:val="29"/>
        </w:numPr>
        <w:spacing w:before="100" w:beforeAutospacing="1" w:after="100" w:afterAutospacing="1" w:line="276" w:lineRule="auto"/>
        <w:ind w:right="-476"/>
        <w:jc w:val="both"/>
        <w:rPr>
          <w:sz w:val="20"/>
        </w:rPr>
      </w:pPr>
      <w:r w:rsidRPr="006B6155">
        <w:rPr>
          <w:sz w:val="20"/>
        </w:rPr>
        <w:t xml:space="preserve">PUBLICAR UNA ADENDA AL SUPLEMENTO DE PROSPECTO </w:t>
      </w:r>
      <w:r w:rsidR="00A26D1A" w:rsidRPr="006B6155">
        <w:rPr>
          <w:sz w:val="20"/>
        </w:rPr>
        <w:t>Y</w:t>
      </w:r>
      <w:r w:rsidR="00E844BA" w:rsidRPr="006B6155">
        <w:rPr>
          <w:sz w:val="20"/>
        </w:rPr>
        <w:t xml:space="preserve"> AL AVISO DE SUSCRIPCIÓN (LA “</w:t>
      </w:r>
      <w:r w:rsidR="00E844BA" w:rsidRPr="006B6155">
        <w:rPr>
          <w:sz w:val="20"/>
          <w:u w:val="single"/>
        </w:rPr>
        <w:t>ADENDA</w:t>
      </w:r>
      <w:r w:rsidR="00E844BA" w:rsidRPr="006B6155">
        <w:rPr>
          <w:sz w:val="20"/>
        </w:rPr>
        <w:t>”)</w:t>
      </w:r>
      <w:r w:rsidR="00A26D1A" w:rsidRPr="006B6155">
        <w:rPr>
          <w:sz w:val="20"/>
        </w:rPr>
        <w:t xml:space="preserve">, EN </w:t>
      </w:r>
      <w:r w:rsidR="00C93D12" w:rsidRPr="006B6155">
        <w:rPr>
          <w:sz w:val="20"/>
        </w:rPr>
        <w:t xml:space="preserve">LOS TÉRMINOS DEL </w:t>
      </w:r>
      <w:r w:rsidR="00C93D12" w:rsidRPr="006B6155">
        <w:rPr>
          <w:b/>
          <w:sz w:val="20"/>
        </w:rPr>
        <w:t>ANEXO I</w:t>
      </w:r>
      <w:r w:rsidR="00C93D12" w:rsidRPr="006B6155">
        <w:rPr>
          <w:sz w:val="20"/>
        </w:rPr>
        <w:t xml:space="preserve"> ADJUNTO AL PRESENTE</w:t>
      </w:r>
      <w:r w:rsidR="00A26D1A" w:rsidRPr="006B6155">
        <w:rPr>
          <w:sz w:val="20"/>
        </w:rPr>
        <w:t>,</w:t>
      </w:r>
      <w:r w:rsidR="00E844BA" w:rsidRPr="006B6155">
        <w:rPr>
          <w:sz w:val="20"/>
        </w:rPr>
        <w:t xml:space="preserve"> </w:t>
      </w:r>
      <w:r w:rsidRPr="006B6155">
        <w:rPr>
          <w:sz w:val="20"/>
        </w:rPr>
        <w:t>EN: (I) AIF; (II) EL BOLETÍN DIARIO DE LA BCBA; Y (III) EN LA PÁGINA WEB DEL MAE</w:t>
      </w:r>
      <w:r w:rsidR="00E844BA" w:rsidRPr="006B6155">
        <w:rPr>
          <w:sz w:val="20"/>
        </w:rPr>
        <w:t>.</w:t>
      </w:r>
      <w:r w:rsidR="00143D99" w:rsidRPr="006B6155">
        <w:rPr>
          <w:snapToGrid w:val="0"/>
          <w:sz w:val="20"/>
        </w:rPr>
        <w:t xml:space="preserve"> SE ACLARA QUE TODOS LOS TÉRMINOS DE LA OFERTA DE CANJE QUE NO SEAN MODIFICADOS POR LA ADENDA SE MANTENDRÁN IDENTICOS A LOS DEL SUPLEMENTO DE PROSPECTO DE FECHA 11 DE JUNIO DE 2021.</w:t>
      </w:r>
    </w:p>
    <w:p w14:paraId="6082EB55" w14:textId="435A3223" w:rsidR="000D4C20" w:rsidRPr="006B6155" w:rsidRDefault="00DC6339" w:rsidP="00DC6339">
      <w:pPr>
        <w:spacing w:before="100" w:beforeAutospacing="1" w:after="100" w:afterAutospacing="1" w:line="276" w:lineRule="auto"/>
        <w:ind w:right="-476"/>
        <w:jc w:val="both"/>
        <w:rPr>
          <w:sz w:val="20"/>
        </w:rPr>
      </w:pPr>
      <w:r w:rsidRPr="006B6155">
        <w:rPr>
          <w:caps/>
          <w:sz w:val="20"/>
        </w:rPr>
        <w:t xml:space="preserve">Conforme lo establecido en </w:t>
      </w:r>
      <w:r w:rsidR="005B4058" w:rsidRPr="006B6155">
        <w:rPr>
          <w:caps/>
          <w:sz w:val="20"/>
        </w:rPr>
        <w:t>el supl</w:t>
      </w:r>
      <w:r w:rsidR="003B23DA">
        <w:rPr>
          <w:caps/>
          <w:sz w:val="20"/>
        </w:rPr>
        <w:t>E</w:t>
      </w:r>
      <w:r w:rsidR="005B4058" w:rsidRPr="006B6155">
        <w:rPr>
          <w:caps/>
          <w:sz w:val="20"/>
        </w:rPr>
        <w:t>mento de prospecto</w:t>
      </w:r>
      <w:r w:rsidRPr="006B6155">
        <w:rPr>
          <w:caps/>
          <w:sz w:val="20"/>
        </w:rPr>
        <w:t>, y ten</w:t>
      </w:r>
      <w:r w:rsidR="00143D99" w:rsidRPr="006B6155">
        <w:rPr>
          <w:caps/>
          <w:sz w:val="20"/>
        </w:rPr>
        <w:t xml:space="preserve">iendo en cuenta </w:t>
      </w:r>
      <w:r w:rsidR="00B21135" w:rsidRPr="006B6155">
        <w:rPr>
          <w:caps/>
          <w:sz w:val="20"/>
        </w:rPr>
        <w:t>LA MODIFICACIÓN DE</w:t>
      </w:r>
      <w:r w:rsidRPr="006B6155">
        <w:rPr>
          <w:caps/>
          <w:sz w:val="20"/>
        </w:rPr>
        <w:t xml:space="preserve"> los términos económicos de la Oferta de Canje, aquellos </w:t>
      </w:r>
      <w:r w:rsidR="00DF13A5" w:rsidRPr="006B6155">
        <w:rPr>
          <w:caps/>
          <w:sz w:val="20"/>
        </w:rPr>
        <w:t xml:space="preserve">TENEDORES ELEGIBLES </w:t>
      </w:r>
      <w:r w:rsidRPr="006B6155">
        <w:rPr>
          <w:caps/>
          <w:sz w:val="20"/>
        </w:rPr>
        <w:t xml:space="preserve">que hubiesen suscripto Obligaciones Negociables </w:t>
      </w:r>
      <w:r w:rsidR="00DF13A5" w:rsidRPr="006B6155">
        <w:rPr>
          <w:caps/>
          <w:sz w:val="20"/>
        </w:rPr>
        <w:t xml:space="preserve">CLASE XXXIII, </w:t>
      </w:r>
      <w:r w:rsidRPr="006B6155">
        <w:rPr>
          <w:caps/>
          <w:sz w:val="20"/>
        </w:rPr>
        <w:t xml:space="preserve">mediante la </w:t>
      </w:r>
      <w:r w:rsidR="00D61B96" w:rsidRPr="006B6155">
        <w:rPr>
          <w:caps/>
          <w:sz w:val="20"/>
        </w:rPr>
        <w:t>OPCIÓN PAR</w:t>
      </w:r>
      <w:r w:rsidR="000F30D4" w:rsidRPr="006B6155">
        <w:rPr>
          <w:caps/>
          <w:sz w:val="20"/>
        </w:rPr>
        <w:t>,</w:t>
      </w:r>
      <w:r w:rsidR="00D61B96" w:rsidRPr="006B6155">
        <w:rPr>
          <w:caps/>
          <w:sz w:val="20"/>
        </w:rPr>
        <w:t xml:space="preserve"> EN O ANTE</w:t>
      </w:r>
      <w:r w:rsidR="003B23DA">
        <w:rPr>
          <w:caps/>
          <w:sz w:val="20"/>
        </w:rPr>
        <w:t>s</w:t>
      </w:r>
      <w:r w:rsidR="00D61B96" w:rsidRPr="006B6155">
        <w:rPr>
          <w:caps/>
          <w:sz w:val="20"/>
        </w:rPr>
        <w:t xml:space="preserve"> DEL</w:t>
      </w:r>
      <w:r w:rsidR="00950FD8" w:rsidRPr="006B6155">
        <w:rPr>
          <w:caps/>
          <w:sz w:val="20"/>
        </w:rPr>
        <w:t xml:space="preserve"> 28 DE JUNIO DE 2021</w:t>
      </w:r>
      <w:r w:rsidRPr="006B6155">
        <w:rPr>
          <w:caps/>
          <w:sz w:val="20"/>
        </w:rPr>
        <w:t xml:space="preserve">, podrán </w:t>
      </w:r>
      <w:r w:rsidR="00DF13A5" w:rsidRPr="006B6155">
        <w:rPr>
          <w:caps/>
          <w:sz w:val="20"/>
        </w:rPr>
        <w:t xml:space="preserve">RATIFICAR O </w:t>
      </w:r>
      <w:r w:rsidRPr="006B6155">
        <w:rPr>
          <w:caps/>
          <w:sz w:val="20"/>
        </w:rPr>
        <w:t xml:space="preserve">retirar </w:t>
      </w:r>
      <w:r w:rsidR="00DF13A5" w:rsidRPr="006B6155">
        <w:rPr>
          <w:caps/>
          <w:sz w:val="20"/>
        </w:rPr>
        <w:t xml:space="preserve">VÁLIDAMENTE </w:t>
      </w:r>
      <w:r w:rsidRPr="006B6155">
        <w:rPr>
          <w:caps/>
          <w:sz w:val="20"/>
        </w:rPr>
        <w:t xml:space="preserve">sus ofertas </w:t>
      </w:r>
      <w:r w:rsidR="00035B5D" w:rsidRPr="006B6155">
        <w:rPr>
          <w:caps/>
          <w:sz w:val="20"/>
        </w:rPr>
        <w:t xml:space="preserve">HASTA </w:t>
      </w:r>
      <w:r w:rsidR="00DF13A5" w:rsidRPr="006B6155">
        <w:rPr>
          <w:caps/>
          <w:sz w:val="20"/>
        </w:rPr>
        <w:t>LA FECHA DE EXPIRACIÓN</w:t>
      </w:r>
      <w:r w:rsidR="000F30D4" w:rsidRPr="006B6155">
        <w:rPr>
          <w:caps/>
          <w:sz w:val="20"/>
        </w:rPr>
        <w:t>.</w:t>
      </w:r>
    </w:p>
    <w:p w14:paraId="3C6D1DBE" w14:textId="542926BE" w:rsidR="00DF13A5" w:rsidRPr="006B6155" w:rsidRDefault="00DF13A5" w:rsidP="00DC6339">
      <w:pPr>
        <w:spacing w:before="100" w:beforeAutospacing="1" w:after="100" w:afterAutospacing="1" w:line="276" w:lineRule="auto"/>
        <w:ind w:right="-476"/>
        <w:jc w:val="both"/>
        <w:rPr>
          <w:b/>
          <w:sz w:val="20"/>
        </w:rPr>
      </w:pPr>
      <w:r w:rsidRPr="006B6155">
        <w:rPr>
          <w:b/>
          <w:sz w:val="20"/>
        </w:rPr>
        <w:t>EN CASO QUE LOS TENEDORES ELEGIBLES NO RATIFIQUEN SUS OFERTAS ANTES DE LA FECHA DE EXPIRACIÓN</w:t>
      </w:r>
      <w:r w:rsidR="000F30D4" w:rsidRPr="006B6155">
        <w:rPr>
          <w:b/>
          <w:sz w:val="20"/>
        </w:rPr>
        <w:t xml:space="preserve"> (2 DE JULIO DE 2021 A LAS 20 HORAS)</w:t>
      </w:r>
      <w:r w:rsidRPr="006B6155">
        <w:rPr>
          <w:b/>
          <w:sz w:val="20"/>
        </w:rPr>
        <w:t xml:space="preserve">, CONFORME AL PROCEDIMIENTO QUE SE DETALLA A CONTINUACIÓN, SE ENTENDERÁ QUE </w:t>
      </w:r>
      <w:r w:rsidR="004D7B4D" w:rsidRPr="006B6155">
        <w:rPr>
          <w:b/>
          <w:sz w:val="20"/>
        </w:rPr>
        <w:t>SU INTENCIÓN ES</w:t>
      </w:r>
      <w:r w:rsidRPr="006B6155">
        <w:rPr>
          <w:b/>
          <w:sz w:val="20"/>
        </w:rPr>
        <w:t xml:space="preserve"> RETIRAR SUS OFERTAS</w:t>
      </w:r>
      <w:r w:rsidR="004D7B4D" w:rsidRPr="006B6155">
        <w:rPr>
          <w:b/>
          <w:sz w:val="20"/>
        </w:rPr>
        <w:t xml:space="preserve"> DEL CANJE</w:t>
      </w:r>
      <w:r w:rsidRPr="006B6155">
        <w:rPr>
          <w:b/>
          <w:sz w:val="20"/>
        </w:rPr>
        <w:t>. EN DICHO CASO, LAS OFERTAS</w:t>
      </w:r>
      <w:r w:rsidR="000F30D4" w:rsidRPr="006B6155">
        <w:rPr>
          <w:b/>
          <w:sz w:val="20"/>
        </w:rPr>
        <w:t xml:space="preserve"> QUEDARÁN SIN EFECTO ALGUNO Y EL</w:t>
      </w:r>
      <w:r w:rsidRPr="006B6155">
        <w:rPr>
          <w:b/>
          <w:sz w:val="20"/>
        </w:rPr>
        <w:t xml:space="preserve"> TENEDOR ELEGIBLE RECIBIRÁ EL PAGO DEL 100% DEL CAPITAL MÁS LOS INTERESES DEVENGADOS E IMPAGOS</w:t>
      </w:r>
      <w:r w:rsidR="003B23DA">
        <w:rPr>
          <w:b/>
          <w:sz w:val="20"/>
        </w:rPr>
        <w:t xml:space="preserve"> DE LAS OBLIGACIONES NEGOCIABLES CLASE XXV</w:t>
      </w:r>
      <w:r w:rsidR="00473AF7">
        <w:rPr>
          <w:b/>
          <w:sz w:val="20"/>
        </w:rPr>
        <w:t xml:space="preserve"> A TRAVÉS DE CAJA DE VALORES S.A.</w:t>
      </w:r>
      <w:r w:rsidRPr="006B6155">
        <w:rPr>
          <w:b/>
          <w:sz w:val="20"/>
        </w:rPr>
        <w:t>, A MÁS TARDAR EL DÍA 1</w:t>
      </w:r>
      <w:r w:rsidR="00473AF7">
        <w:rPr>
          <w:b/>
          <w:sz w:val="20"/>
        </w:rPr>
        <w:t>2</w:t>
      </w:r>
      <w:r w:rsidRPr="006B6155">
        <w:rPr>
          <w:b/>
          <w:sz w:val="20"/>
        </w:rPr>
        <w:t xml:space="preserve"> DE JULIO DE 2021, DE ACUERDO A LOS TERMINOS Y CONDICIONES DE EMISION DE LAS OBLIGACIONES NEGOCIABLES CLASE XXV.</w:t>
      </w:r>
    </w:p>
    <w:p w14:paraId="2AA296B2" w14:textId="3833554D" w:rsidR="00DC6339" w:rsidRPr="006B6155" w:rsidRDefault="00DC6339" w:rsidP="00DC6339">
      <w:pPr>
        <w:spacing w:before="100" w:beforeAutospacing="1" w:after="100" w:afterAutospacing="1" w:line="276" w:lineRule="auto"/>
        <w:ind w:right="-476"/>
        <w:jc w:val="both"/>
        <w:rPr>
          <w:sz w:val="20"/>
        </w:rPr>
      </w:pPr>
      <w:r w:rsidRPr="006B6155">
        <w:rPr>
          <w:sz w:val="20"/>
        </w:rPr>
        <w:t xml:space="preserve">En este sentido, </w:t>
      </w:r>
      <w:r w:rsidR="004F2CDD" w:rsidRPr="006B6155">
        <w:rPr>
          <w:sz w:val="20"/>
        </w:rPr>
        <w:t>se informa que</w:t>
      </w:r>
      <w:r w:rsidR="00950FD8" w:rsidRPr="006B6155">
        <w:rPr>
          <w:sz w:val="20"/>
        </w:rPr>
        <w:t xml:space="preserve"> los Tenedores Elegibles que hubieren presentado sus Solicitudes de Canje para suscribir las Obligaciones Negociables </w:t>
      </w:r>
      <w:r w:rsidR="00772883" w:rsidRPr="006B6155">
        <w:rPr>
          <w:sz w:val="20"/>
        </w:rPr>
        <w:t>Clase XXXIII</w:t>
      </w:r>
      <w:r w:rsidR="00950FD8" w:rsidRPr="006B6155">
        <w:rPr>
          <w:sz w:val="20"/>
        </w:rPr>
        <w:t xml:space="preserve"> bajo la Opción Par y</w:t>
      </w:r>
      <w:r w:rsidRPr="006B6155">
        <w:rPr>
          <w:sz w:val="20"/>
        </w:rPr>
        <w:t xml:space="preserve"> deseen participar de la Ofert</w:t>
      </w:r>
      <w:r w:rsidR="00950FD8" w:rsidRPr="006B6155">
        <w:rPr>
          <w:sz w:val="20"/>
        </w:rPr>
        <w:t>a de Canje bajo la Opción Par</w:t>
      </w:r>
      <w:r w:rsidR="00A26D1A" w:rsidRPr="006B6155">
        <w:rPr>
          <w:sz w:val="20"/>
        </w:rPr>
        <w:t>,</w:t>
      </w:r>
      <w:r w:rsidR="00B21135" w:rsidRPr="006B6155">
        <w:rPr>
          <w:sz w:val="20"/>
        </w:rPr>
        <w:t xml:space="preserve"> conforme a los nuevos términos y condiciones de las Obligaciones Negociables Clase XXXIII</w:t>
      </w:r>
      <w:r w:rsidR="00950FD8" w:rsidRPr="006B6155">
        <w:rPr>
          <w:sz w:val="20"/>
        </w:rPr>
        <w:t xml:space="preserve">, </w:t>
      </w:r>
      <w:r w:rsidRPr="006B6155">
        <w:rPr>
          <w:sz w:val="20"/>
        </w:rPr>
        <w:t>deberán ratificar su intención de participar de la Oferta de Canje</w:t>
      </w:r>
      <w:r w:rsidR="00950FD8" w:rsidRPr="006B6155">
        <w:rPr>
          <w:sz w:val="20"/>
        </w:rPr>
        <w:t>,</w:t>
      </w:r>
      <w:r w:rsidRPr="006B6155">
        <w:rPr>
          <w:sz w:val="20"/>
        </w:rPr>
        <w:t xml:space="preserve"> mediante la presentación de una nueva Solicitud de Canje </w:t>
      </w:r>
      <w:r w:rsidR="00E844BA" w:rsidRPr="006B6155">
        <w:rPr>
          <w:sz w:val="20"/>
        </w:rPr>
        <w:t>ante</w:t>
      </w:r>
      <w:r w:rsidRPr="006B6155">
        <w:rPr>
          <w:sz w:val="20"/>
        </w:rPr>
        <w:t xml:space="preserve"> los Colocadores y/o </w:t>
      </w:r>
      <w:r w:rsidR="00473AF7" w:rsidRPr="00A07D9D">
        <w:rPr>
          <w:sz w:val="20"/>
        </w:rPr>
        <w:t>agente</w:t>
      </w:r>
      <w:r w:rsidR="00473AF7">
        <w:rPr>
          <w:sz w:val="20"/>
        </w:rPr>
        <w:t xml:space="preserve">s </w:t>
      </w:r>
      <w:r w:rsidR="00473AF7" w:rsidRPr="00A07D9D">
        <w:rPr>
          <w:sz w:val="20"/>
        </w:rPr>
        <w:t>participante</w:t>
      </w:r>
      <w:r w:rsidR="00473AF7">
        <w:rPr>
          <w:sz w:val="20"/>
        </w:rPr>
        <w:t>s</w:t>
      </w:r>
      <w:r w:rsidR="00473AF7" w:rsidRPr="00A07D9D">
        <w:rPr>
          <w:sz w:val="20"/>
        </w:rPr>
        <w:t xml:space="preserve"> o depositante</w:t>
      </w:r>
      <w:r w:rsidR="00473AF7">
        <w:rPr>
          <w:sz w:val="20"/>
        </w:rPr>
        <w:t>s</w:t>
      </w:r>
      <w:r w:rsidR="00473AF7" w:rsidRPr="00A07D9D">
        <w:rPr>
          <w:sz w:val="20"/>
        </w:rPr>
        <w:t xml:space="preserve"> en Caja de Valores</w:t>
      </w:r>
      <w:r w:rsidRPr="006B6155">
        <w:rPr>
          <w:sz w:val="20"/>
        </w:rPr>
        <w:t xml:space="preserve">, conforme el procedimiento establecido </w:t>
      </w:r>
      <w:r w:rsidR="00CE0DD8" w:rsidRPr="006B6155">
        <w:rPr>
          <w:sz w:val="20"/>
        </w:rPr>
        <w:t xml:space="preserve">en la </w:t>
      </w:r>
      <w:r w:rsidR="00A26D1A" w:rsidRPr="006B6155">
        <w:rPr>
          <w:sz w:val="20"/>
        </w:rPr>
        <w:t>sección “</w:t>
      </w:r>
      <w:r w:rsidR="00A26D1A" w:rsidRPr="006B6155">
        <w:rPr>
          <w:i/>
          <w:sz w:val="20"/>
        </w:rPr>
        <w:t>Descripción</w:t>
      </w:r>
      <w:r w:rsidR="00A26D1A" w:rsidRPr="009A546A">
        <w:rPr>
          <w:i/>
          <w:sz w:val="20"/>
        </w:rPr>
        <w:t xml:space="preserve"> de </w:t>
      </w:r>
      <w:r w:rsidR="00A26D1A" w:rsidRPr="006B6155">
        <w:rPr>
          <w:i/>
          <w:sz w:val="20"/>
        </w:rPr>
        <w:t>la Oferta de Canje—Procedimientos para la Presentación de Obligaciones Negociables Existentes</w:t>
      </w:r>
      <w:r w:rsidR="00A26D1A" w:rsidRPr="006B6155">
        <w:rPr>
          <w:sz w:val="20"/>
        </w:rPr>
        <w:t>”</w:t>
      </w:r>
      <w:r w:rsidRPr="006B6155">
        <w:rPr>
          <w:sz w:val="20"/>
        </w:rPr>
        <w:t xml:space="preserve"> </w:t>
      </w:r>
      <w:r w:rsidR="00A26D1A" w:rsidRPr="006B6155">
        <w:rPr>
          <w:sz w:val="20"/>
        </w:rPr>
        <w:t>d</w:t>
      </w:r>
      <w:r w:rsidRPr="006B6155">
        <w:rPr>
          <w:sz w:val="20"/>
        </w:rPr>
        <w:t xml:space="preserve">el Suplemento de Prospecto, </w:t>
      </w:r>
      <w:r w:rsidR="00950FD8" w:rsidRPr="006B6155">
        <w:rPr>
          <w:sz w:val="20"/>
        </w:rPr>
        <w:t xml:space="preserve">en o </w:t>
      </w:r>
      <w:r w:rsidRPr="006B6155">
        <w:rPr>
          <w:sz w:val="20"/>
        </w:rPr>
        <w:t>antes de la Fecha de Expiración (conforme dicha fecha fuera modificada)</w:t>
      </w:r>
      <w:r w:rsidR="00950FD8" w:rsidRPr="006B6155">
        <w:rPr>
          <w:sz w:val="20"/>
        </w:rPr>
        <w:t>,</w:t>
      </w:r>
      <w:r w:rsidRPr="006B6155">
        <w:rPr>
          <w:sz w:val="20"/>
        </w:rPr>
        <w:t xml:space="preserve"> a los fines de que los Colocadores y/o </w:t>
      </w:r>
      <w:r w:rsidR="006E5F15" w:rsidRPr="006B6155">
        <w:rPr>
          <w:sz w:val="20"/>
        </w:rPr>
        <w:t xml:space="preserve">los </w:t>
      </w:r>
      <w:r w:rsidR="00473AF7" w:rsidRPr="00A07D9D">
        <w:rPr>
          <w:sz w:val="20"/>
        </w:rPr>
        <w:t>agente</w:t>
      </w:r>
      <w:r w:rsidR="00473AF7">
        <w:rPr>
          <w:sz w:val="20"/>
        </w:rPr>
        <w:t xml:space="preserve">s </w:t>
      </w:r>
      <w:r w:rsidR="00473AF7" w:rsidRPr="00A07D9D">
        <w:rPr>
          <w:sz w:val="20"/>
        </w:rPr>
        <w:t>participante</w:t>
      </w:r>
      <w:r w:rsidR="00473AF7">
        <w:rPr>
          <w:sz w:val="20"/>
        </w:rPr>
        <w:t>s</w:t>
      </w:r>
      <w:r w:rsidR="00473AF7" w:rsidRPr="00A07D9D">
        <w:rPr>
          <w:sz w:val="20"/>
        </w:rPr>
        <w:t xml:space="preserve"> o depositante</w:t>
      </w:r>
      <w:r w:rsidR="00473AF7">
        <w:rPr>
          <w:sz w:val="20"/>
        </w:rPr>
        <w:t>s</w:t>
      </w:r>
      <w:r w:rsidR="00473AF7" w:rsidRPr="00A07D9D">
        <w:rPr>
          <w:sz w:val="20"/>
        </w:rPr>
        <w:t xml:space="preserve"> en Caja de Valores</w:t>
      </w:r>
      <w:r w:rsidRPr="006B6155">
        <w:rPr>
          <w:sz w:val="20"/>
        </w:rPr>
        <w:t xml:space="preserve">, según corresponda, notifiquen a Caja de Valores S.A. </w:t>
      </w:r>
      <w:r w:rsidR="00B21135" w:rsidRPr="006B6155">
        <w:rPr>
          <w:sz w:val="20"/>
        </w:rPr>
        <w:t>la revocación</w:t>
      </w:r>
      <w:r w:rsidR="00950FD8" w:rsidRPr="006B6155">
        <w:rPr>
          <w:sz w:val="20"/>
        </w:rPr>
        <w:t xml:space="preserve"> </w:t>
      </w:r>
      <w:r w:rsidR="00B21135" w:rsidRPr="006B6155">
        <w:rPr>
          <w:sz w:val="20"/>
        </w:rPr>
        <w:t xml:space="preserve">de </w:t>
      </w:r>
      <w:r w:rsidR="00950FD8" w:rsidRPr="006B6155">
        <w:rPr>
          <w:sz w:val="20"/>
        </w:rPr>
        <w:t>las Ofertas correspondientes</w:t>
      </w:r>
      <w:r w:rsidRPr="006B6155">
        <w:rPr>
          <w:sz w:val="20"/>
        </w:rPr>
        <w:t xml:space="preserve"> a los </w:t>
      </w:r>
      <w:r w:rsidR="00950FD8" w:rsidRPr="006B6155">
        <w:rPr>
          <w:sz w:val="20"/>
        </w:rPr>
        <w:t>Tenedores Elegibles</w:t>
      </w:r>
      <w:r w:rsidRPr="006B6155">
        <w:rPr>
          <w:sz w:val="20"/>
        </w:rPr>
        <w:t xml:space="preserve"> que no hubiesen ratificado su participación</w:t>
      </w:r>
      <w:r w:rsidR="00950FD8" w:rsidRPr="006B6155">
        <w:rPr>
          <w:sz w:val="20"/>
        </w:rPr>
        <w:t>,</w:t>
      </w:r>
      <w:r w:rsidRPr="006B6155">
        <w:rPr>
          <w:sz w:val="20"/>
        </w:rPr>
        <w:t xml:space="preserve"> de acuerdo al mecanismo</w:t>
      </w:r>
      <w:r w:rsidR="00950FD8" w:rsidRPr="006B6155">
        <w:rPr>
          <w:sz w:val="20"/>
        </w:rPr>
        <w:t xml:space="preserve"> que sea</w:t>
      </w:r>
      <w:r w:rsidRPr="006B6155">
        <w:rPr>
          <w:sz w:val="20"/>
        </w:rPr>
        <w:t xml:space="preserve"> comunicado oportunamente por Caja de Valore</w:t>
      </w:r>
      <w:r w:rsidR="00950FD8" w:rsidRPr="006B6155">
        <w:rPr>
          <w:sz w:val="20"/>
        </w:rPr>
        <w:t>s</w:t>
      </w:r>
      <w:r w:rsidRPr="006B6155">
        <w:rPr>
          <w:sz w:val="20"/>
        </w:rPr>
        <w:t xml:space="preserve">. </w:t>
      </w:r>
      <w:r w:rsidR="006E5F15" w:rsidRPr="006B6155">
        <w:rPr>
          <w:sz w:val="20"/>
        </w:rPr>
        <w:t>En efecto</w:t>
      </w:r>
      <w:r w:rsidR="004D7B4D" w:rsidRPr="006B6155">
        <w:rPr>
          <w:sz w:val="20"/>
        </w:rPr>
        <w:t xml:space="preserve">, tanto los Colocadores como los </w:t>
      </w:r>
      <w:r w:rsidR="00473AF7" w:rsidRPr="00A07D9D">
        <w:rPr>
          <w:sz w:val="20"/>
        </w:rPr>
        <w:t>agente</w:t>
      </w:r>
      <w:r w:rsidR="00473AF7">
        <w:rPr>
          <w:sz w:val="20"/>
        </w:rPr>
        <w:t xml:space="preserve">s </w:t>
      </w:r>
      <w:r w:rsidR="00473AF7" w:rsidRPr="00A07D9D">
        <w:rPr>
          <w:sz w:val="20"/>
        </w:rPr>
        <w:t>participante</w:t>
      </w:r>
      <w:r w:rsidR="00473AF7">
        <w:rPr>
          <w:sz w:val="20"/>
        </w:rPr>
        <w:t>s</w:t>
      </w:r>
      <w:r w:rsidR="00473AF7" w:rsidRPr="00A07D9D">
        <w:rPr>
          <w:sz w:val="20"/>
        </w:rPr>
        <w:t xml:space="preserve"> o depositante</w:t>
      </w:r>
      <w:r w:rsidR="00473AF7">
        <w:rPr>
          <w:sz w:val="20"/>
        </w:rPr>
        <w:t>s</w:t>
      </w:r>
      <w:r w:rsidR="00473AF7" w:rsidRPr="00A07D9D">
        <w:rPr>
          <w:sz w:val="20"/>
        </w:rPr>
        <w:t xml:space="preserve"> en Caja de Valores</w:t>
      </w:r>
      <w:r w:rsidR="004D7B4D" w:rsidRPr="006B6155">
        <w:rPr>
          <w:sz w:val="20"/>
        </w:rPr>
        <w:t xml:space="preserve"> procesarán las </w:t>
      </w:r>
      <w:r w:rsidR="004F2CDD" w:rsidRPr="006B6155">
        <w:rPr>
          <w:sz w:val="20"/>
        </w:rPr>
        <w:t xml:space="preserve">nuevas </w:t>
      </w:r>
      <w:r w:rsidR="004D7B4D" w:rsidRPr="006B6155">
        <w:rPr>
          <w:sz w:val="20"/>
        </w:rPr>
        <w:t xml:space="preserve">Solicitudes de Canje de los Tenedores Elegibles </w:t>
      </w:r>
      <w:r w:rsidR="004F2CDD" w:rsidRPr="006B6155">
        <w:rPr>
          <w:sz w:val="20"/>
        </w:rPr>
        <w:t xml:space="preserve">que hubieran presentado Obligaciones Negociables Existentes a través suyo, </w:t>
      </w:r>
      <w:r w:rsidR="004D7B4D" w:rsidRPr="006B6155">
        <w:rPr>
          <w:sz w:val="20"/>
        </w:rPr>
        <w:t>e informarán oportunamente a Caja de Valores</w:t>
      </w:r>
      <w:r w:rsidR="004F2CDD" w:rsidRPr="006B6155">
        <w:rPr>
          <w:sz w:val="20"/>
        </w:rPr>
        <w:t xml:space="preserve"> sobre las Ofertas que deban ser </w:t>
      </w:r>
      <w:r w:rsidR="004D7B4D" w:rsidRPr="006B6155">
        <w:rPr>
          <w:sz w:val="20"/>
        </w:rPr>
        <w:t xml:space="preserve">revocadas, de conformidad con la comunicación que sea oportunamente emitida por </w:t>
      </w:r>
      <w:r w:rsidR="006E5F15" w:rsidRPr="006B6155">
        <w:rPr>
          <w:sz w:val="20"/>
        </w:rPr>
        <w:t>dicha entidad</w:t>
      </w:r>
      <w:r w:rsidR="004D7B4D" w:rsidRPr="006B6155">
        <w:rPr>
          <w:sz w:val="20"/>
        </w:rPr>
        <w:t>.</w:t>
      </w:r>
    </w:p>
    <w:p w14:paraId="2865D67F" w14:textId="35E628A7" w:rsidR="00E844BA" w:rsidRPr="006B6155" w:rsidRDefault="00DC6339" w:rsidP="00037571">
      <w:pPr>
        <w:spacing w:before="100" w:beforeAutospacing="1" w:after="100" w:afterAutospacing="1" w:line="276" w:lineRule="auto"/>
        <w:ind w:right="-476"/>
        <w:jc w:val="both"/>
        <w:rPr>
          <w:sz w:val="20"/>
        </w:rPr>
      </w:pPr>
      <w:r w:rsidRPr="009A546A">
        <w:rPr>
          <w:sz w:val="20"/>
        </w:rPr>
        <w:t xml:space="preserve">Asimismo, cabe destacar que, aquellos </w:t>
      </w:r>
      <w:r w:rsidR="00A26D1A" w:rsidRPr="006B6155">
        <w:rPr>
          <w:sz w:val="20"/>
        </w:rPr>
        <w:t>Tenedores Elegibles</w:t>
      </w:r>
      <w:r w:rsidR="00A26D1A" w:rsidRPr="009A546A">
        <w:rPr>
          <w:sz w:val="20"/>
        </w:rPr>
        <w:t xml:space="preserve"> </w:t>
      </w:r>
      <w:r w:rsidRPr="009A546A">
        <w:rPr>
          <w:sz w:val="20"/>
        </w:rPr>
        <w:t xml:space="preserve">que no ratifiquen su decisión de participar de la Oferta de Canje bajo la Opción Par, conforme lo establecido en el párrafo precedente, </w:t>
      </w:r>
      <w:r w:rsidR="00CE0DD8" w:rsidRPr="009A546A">
        <w:rPr>
          <w:sz w:val="20"/>
        </w:rPr>
        <w:t xml:space="preserve">no tendrán derecho a ninguna </w:t>
      </w:r>
      <w:r w:rsidR="00DC7D7F" w:rsidRPr="009A546A">
        <w:rPr>
          <w:sz w:val="20"/>
        </w:rPr>
        <w:t xml:space="preserve">Contraprestación Anticipada </w:t>
      </w:r>
      <w:r w:rsidR="00CE0DD8" w:rsidRPr="009A546A">
        <w:rPr>
          <w:sz w:val="20"/>
        </w:rPr>
        <w:t xml:space="preserve">correspondiente a las Obligaciones Negociables </w:t>
      </w:r>
      <w:r w:rsidR="00CE0DD8" w:rsidRPr="006B6155">
        <w:rPr>
          <w:sz w:val="20"/>
        </w:rPr>
        <w:t xml:space="preserve">Clase XXXIII. </w:t>
      </w:r>
      <w:r w:rsidR="00DC7D7F" w:rsidRPr="006B6155">
        <w:rPr>
          <w:sz w:val="20"/>
        </w:rPr>
        <w:t>T</w:t>
      </w:r>
      <w:r w:rsidR="00CE0DD8" w:rsidRPr="006B6155">
        <w:rPr>
          <w:bCs/>
          <w:sz w:val="20"/>
        </w:rPr>
        <w:t>al circunstancia no generará responsa</w:t>
      </w:r>
      <w:r w:rsidR="00DC7D7F" w:rsidRPr="006B6155">
        <w:rPr>
          <w:bCs/>
          <w:sz w:val="20"/>
        </w:rPr>
        <w:t>bilidad de ningún tipo para la C</w:t>
      </w:r>
      <w:r w:rsidR="00CE0DD8" w:rsidRPr="006B6155">
        <w:rPr>
          <w:bCs/>
          <w:sz w:val="20"/>
        </w:rPr>
        <w:t xml:space="preserve">ompañía, ni para los </w:t>
      </w:r>
      <w:r w:rsidR="00DC7D7F" w:rsidRPr="006B6155">
        <w:rPr>
          <w:bCs/>
          <w:sz w:val="20"/>
        </w:rPr>
        <w:t>C</w:t>
      </w:r>
      <w:r w:rsidR="00035B5D" w:rsidRPr="006B6155">
        <w:rPr>
          <w:bCs/>
          <w:sz w:val="20"/>
        </w:rPr>
        <w:t xml:space="preserve">olocadores, ni otorgará a los Tenedores Elegibles </w:t>
      </w:r>
      <w:r w:rsidR="00CE0DD8" w:rsidRPr="006B6155">
        <w:rPr>
          <w:bCs/>
          <w:sz w:val="20"/>
        </w:rPr>
        <w:t xml:space="preserve">que remitieron dichas </w:t>
      </w:r>
      <w:r w:rsidR="004F2CDD" w:rsidRPr="006B6155">
        <w:rPr>
          <w:bCs/>
          <w:sz w:val="20"/>
        </w:rPr>
        <w:t xml:space="preserve">Solicitudes de Canje </w:t>
      </w:r>
      <w:r w:rsidR="00CE0DD8" w:rsidRPr="006B6155">
        <w:rPr>
          <w:bCs/>
          <w:sz w:val="20"/>
        </w:rPr>
        <w:t>derecho a compensación ni indemnización alguna.</w:t>
      </w:r>
    </w:p>
    <w:p w14:paraId="246379DE" w14:textId="05F6EE00" w:rsidR="00DC6339" w:rsidRPr="006B6155" w:rsidRDefault="00DC6339" w:rsidP="00037571">
      <w:pPr>
        <w:spacing w:before="100" w:beforeAutospacing="1" w:after="100" w:afterAutospacing="1" w:line="276" w:lineRule="auto"/>
        <w:ind w:right="-476"/>
        <w:jc w:val="both"/>
        <w:rPr>
          <w:sz w:val="20"/>
        </w:rPr>
      </w:pPr>
      <w:r w:rsidRPr="006B6155">
        <w:rPr>
          <w:sz w:val="20"/>
        </w:rPr>
        <w:lastRenderedPageBreak/>
        <w:t xml:space="preserve">Por el contrario, aquellos que hubiesen presentado sus Solicitudes de Canje para acceder a la Opción Par antes de la Fecha Límite Para Acceder a la Contraprestación Anticipada y que ratifiquen su intención de participar de la Oferta de Canje mediante la presentación de una nueva Solicitud de </w:t>
      </w:r>
      <w:proofErr w:type="gramStart"/>
      <w:r w:rsidRPr="006B6155">
        <w:rPr>
          <w:sz w:val="20"/>
        </w:rPr>
        <w:t>Canje ,</w:t>
      </w:r>
      <w:proofErr w:type="gramEnd"/>
      <w:r w:rsidRPr="006B6155">
        <w:rPr>
          <w:sz w:val="20"/>
        </w:rPr>
        <w:t xml:space="preserve"> tendrán derecho a recibir la Contraprestación Anticipada de</w:t>
      </w:r>
      <w:r w:rsidR="00E844BA" w:rsidRPr="006B6155">
        <w:rPr>
          <w:sz w:val="20"/>
        </w:rPr>
        <w:t>l</w:t>
      </w:r>
      <w:r w:rsidRPr="006B6155">
        <w:rPr>
          <w:sz w:val="20"/>
        </w:rPr>
        <w:t xml:space="preserve"> 0,75</w:t>
      </w:r>
      <w:r w:rsidR="00035B5D" w:rsidRPr="006B6155">
        <w:rPr>
          <w:sz w:val="20"/>
        </w:rPr>
        <w:t xml:space="preserve">% pagadera en pesos, de conformidad con lo establecido </w:t>
      </w:r>
      <w:r w:rsidRPr="006B6155">
        <w:rPr>
          <w:sz w:val="20"/>
        </w:rPr>
        <w:t>e</w:t>
      </w:r>
      <w:r w:rsidR="00A26D1A" w:rsidRPr="006B6155">
        <w:rPr>
          <w:sz w:val="20"/>
        </w:rPr>
        <w:t xml:space="preserve">n el Suplemento de Prospecto. </w:t>
      </w:r>
    </w:p>
    <w:p w14:paraId="2E8CDBA1" w14:textId="08EAE75F" w:rsidR="005F72A3" w:rsidRPr="006B6155" w:rsidRDefault="005F72A3" w:rsidP="00037571">
      <w:pPr>
        <w:spacing w:before="100" w:beforeAutospacing="1" w:after="100" w:afterAutospacing="1" w:line="276" w:lineRule="auto"/>
        <w:ind w:right="-476"/>
        <w:jc w:val="both"/>
        <w:rPr>
          <w:sz w:val="20"/>
        </w:rPr>
      </w:pPr>
      <w:r w:rsidRPr="006B6155">
        <w:rPr>
          <w:sz w:val="20"/>
        </w:rPr>
        <w:t xml:space="preserve">A mayor abundamiento, se informa que aquellos </w:t>
      </w:r>
      <w:r w:rsidR="004F2CDD" w:rsidRPr="006B6155">
        <w:rPr>
          <w:sz w:val="20"/>
        </w:rPr>
        <w:t xml:space="preserve">Tenedores Elegibles </w:t>
      </w:r>
      <w:r w:rsidRPr="006B6155">
        <w:rPr>
          <w:sz w:val="20"/>
        </w:rPr>
        <w:t>que: (i) no hubieran suscripto Solicitudes de Canje</w:t>
      </w:r>
      <w:r w:rsidR="00473AF7">
        <w:rPr>
          <w:sz w:val="20"/>
        </w:rPr>
        <w:t xml:space="preserve"> en o antes del 28 de junio de 2021</w:t>
      </w:r>
      <w:r w:rsidRPr="006B6155">
        <w:rPr>
          <w:sz w:val="20"/>
        </w:rPr>
        <w:t>; (ii) hubiesen suscripto las Obligaciones Negociables Clase XXXIII, mediante la Opción Base</w:t>
      </w:r>
      <w:r w:rsidR="00473AF7">
        <w:rPr>
          <w:sz w:val="20"/>
        </w:rPr>
        <w:t xml:space="preserve"> y no la Opción Par</w:t>
      </w:r>
      <w:r w:rsidRPr="006B6155">
        <w:rPr>
          <w:sz w:val="20"/>
        </w:rPr>
        <w:t>; y</w:t>
      </w:r>
      <w:r w:rsidR="00473AF7">
        <w:rPr>
          <w:sz w:val="20"/>
        </w:rPr>
        <w:t>/o</w:t>
      </w:r>
      <w:r w:rsidRPr="006B6155">
        <w:rPr>
          <w:sz w:val="20"/>
        </w:rPr>
        <w:t xml:space="preserve"> (iii) hubiesen suscripto las Obligaciones Negociables Clase XXXIII, mediante la Opción P</w:t>
      </w:r>
      <w:r w:rsidR="006E5F15" w:rsidRPr="006B6155">
        <w:rPr>
          <w:sz w:val="20"/>
        </w:rPr>
        <w:t>ar en o antes del</w:t>
      </w:r>
      <w:r w:rsidRPr="006B6155">
        <w:rPr>
          <w:sz w:val="20"/>
        </w:rPr>
        <w:t xml:space="preserve"> 28 de junio de 2021, pero no hubieren ratificado su decisión de participar en la Oferta de Canje, en los nuevos términos y condiciones de las Obligaciones Negociables Clase XXXIII, conforme al procedimiento que se describe más arriba, </w:t>
      </w:r>
      <w:r w:rsidR="00461812">
        <w:rPr>
          <w:sz w:val="20"/>
        </w:rPr>
        <w:t xml:space="preserve">obtendrán la devolución de las Obligaciones Negociables Clase XXV por parte de Caja de Valores S.A. y </w:t>
      </w:r>
      <w:r w:rsidRPr="006B6155">
        <w:rPr>
          <w:sz w:val="20"/>
        </w:rPr>
        <w:t xml:space="preserve">recibirán el pago del 100% del capital más intereses devengados e impagos </w:t>
      </w:r>
      <w:r w:rsidR="00473AF7">
        <w:rPr>
          <w:sz w:val="20"/>
        </w:rPr>
        <w:t>de las Obligaciones Negociables Clase XXV</w:t>
      </w:r>
      <w:r w:rsidR="00B57FC1">
        <w:rPr>
          <w:sz w:val="20"/>
        </w:rPr>
        <w:t xml:space="preserve"> a través de Caja de Valores S.A., </w:t>
      </w:r>
      <w:r w:rsidRPr="006B6155">
        <w:rPr>
          <w:sz w:val="20"/>
        </w:rPr>
        <w:t>a más tardar el 1</w:t>
      </w:r>
      <w:r w:rsidR="00B57FC1">
        <w:rPr>
          <w:sz w:val="20"/>
        </w:rPr>
        <w:t>2</w:t>
      </w:r>
      <w:r w:rsidRPr="006B6155">
        <w:rPr>
          <w:sz w:val="20"/>
        </w:rPr>
        <w:t xml:space="preserve"> de julio de 2021, de acuerdo a los términos y condiciones de emisión de las Obligaciones Negociables Clase XXV</w:t>
      </w:r>
    </w:p>
    <w:p w14:paraId="63FBD5DA" w14:textId="636231DD" w:rsidR="00230FCB" w:rsidRPr="006B6155" w:rsidRDefault="00230FCB" w:rsidP="00037571">
      <w:pPr>
        <w:spacing w:before="100" w:beforeAutospacing="1" w:after="100" w:afterAutospacing="1" w:line="276" w:lineRule="auto"/>
        <w:ind w:right="-476"/>
        <w:jc w:val="both"/>
        <w:rPr>
          <w:sz w:val="20"/>
        </w:rPr>
      </w:pPr>
      <w:r w:rsidRPr="006B6155">
        <w:rPr>
          <w:sz w:val="20"/>
        </w:rPr>
        <w:t>Cada Tenedor Elegible, antes de tomar cualquier decisión respecto a su participación de la Oferta de Canje, deberá hacer su propia evaluación independiente con respecto a la información contenida en el Prospecto, el Suplementos de Prospecto,</w:t>
      </w:r>
      <w:r w:rsidR="00035B5D" w:rsidRPr="006B6155">
        <w:rPr>
          <w:sz w:val="20"/>
        </w:rPr>
        <w:t xml:space="preserve"> el Aviso de Suscripción,</w:t>
      </w:r>
      <w:r w:rsidRPr="006B6155">
        <w:rPr>
          <w:sz w:val="20"/>
        </w:rPr>
        <w:t xml:space="preserve"> la Adenda, la Solicitud de Canje y de los beneficios y riesgos involucrados; debiendo consultar con sus propios asesores respecto de los aspectos legales, comerciales, financieros, cambiarios, impositivos y/o de otro tipo relacionados con su inversión en las Obligaciones Negociables Clase XXXIII.</w:t>
      </w:r>
    </w:p>
    <w:p w14:paraId="4408658E" w14:textId="592D40A8" w:rsidR="00230FCB" w:rsidRPr="006B6155" w:rsidRDefault="00230FCB" w:rsidP="00DC6339">
      <w:pPr>
        <w:spacing w:before="100" w:beforeAutospacing="1" w:after="100" w:afterAutospacing="1" w:line="276" w:lineRule="auto"/>
        <w:ind w:right="-476"/>
        <w:jc w:val="both"/>
        <w:rPr>
          <w:sz w:val="20"/>
        </w:rPr>
      </w:pPr>
      <w:bookmarkStart w:id="1" w:name="_Hlk55159604"/>
      <w:r w:rsidRPr="006B6155">
        <w:rPr>
          <w:sz w:val="20"/>
        </w:rPr>
        <w:t xml:space="preserve">Se deja constancia que la Solicitud de Canje y cualesquiera otros documentos relativos a las Obligaciones Negociables </w:t>
      </w:r>
      <w:r w:rsidR="00772883" w:rsidRPr="006B6155">
        <w:rPr>
          <w:sz w:val="20"/>
        </w:rPr>
        <w:t xml:space="preserve">Clase XXXIII </w:t>
      </w:r>
      <w:r w:rsidRPr="006B6155">
        <w:rPr>
          <w:sz w:val="20"/>
        </w:rPr>
        <w:t>podrán ser suscriptos tanto en soporte físico como por cualquier medio electrónico. En todos los instrumentos generados por medios electrónicos</w:t>
      </w:r>
      <w:r w:rsidR="008102FE">
        <w:rPr>
          <w:sz w:val="20"/>
        </w:rPr>
        <w:t xml:space="preserve"> que requieran</w:t>
      </w:r>
      <w:r w:rsidRPr="006B6155">
        <w:rPr>
          <w:sz w:val="20"/>
        </w:rPr>
        <w:t xml:space="preserve"> la firma de una persona</w:t>
      </w:r>
      <w:r w:rsidR="008102FE">
        <w:rPr>
          <w:sz w:val="20"/>
        </w:rPr>
        <w:t>, el requisito</w:t>
      </w:r>
      <w:r w:rsidRPr="006B6155">
        <w:rPr>
          <w:sz w:val="20"/>
        </w:rPr>
        <w:t xml:space="preserve"> quedará satisfecho si se utiliza una firma electrónica, en cuyo caso se los considera instrumentos privados firmados de acuerdo con lo dispuesto por los artículos 286 y 287 del Código Civil y Comercial de la Nación, y resultarán válidos y vinculantes en todos sus términos y condiciones. Asimismo, tales documentos deberán ser considerados como medio fehaciente, aun cuando los mismos sean suscriptos mediante firma electrónica, y tendrá la misma validez que si hubieran sido firmados en soporte físico.</w:t>
      </w:r>
    </w:p>
    <w:p w14:paraId="2463198B" w14:textId="539D00D8" w:rsidR="00DC6339" w:rsidRPr="006B6155" w:rsidRDefault="005B4058" w:rsidP="00DC6339">
      <w:pPr>
        <w:spacing w:before="100" w:beforeAutospacing="1" w:after="100" w:afterAutospacing="1" w:line="276" w:lineRule="auto"/>
        <w:ind w:right="-476"/>
        <w:jc w:val="both"/>
        <w:rPr>
          <w:sz w:val="20"/>
        </w:rPr>
      </w:pPr>
      <w:r w:rsidRPr="006B6155">
        <w:rPr>
          <w:sz w:val="20"/>
        </w:rPr>
        <w:t>En tal sentido</w:t>
      </w:r>
      <w:r w:rsidR="00FA620A" w:rsidRPr="006B6155">
        <w:rPr>
          <w:sz w:val="20"/>
        </w:rPr>
        <w:t>,</w:t>
      </w:r>
      <w:bookmarkEnd w:id="1"/>
      <w:r w:rsidRPr="006B6155">
        <w:rPr>
          <w:sz w:val="20"/>
        </w:rPr>
        <w:t xml:space="preserve"> el Suplemento de Prospecto y el Avi</w:t>
      </w:r>
      <w:r w:rsidR="00E844BA" w:rsidRPr="006B6155">
        <w:rPr>
          <w:sz w:val="20"/>
        </w:rPr>
        <w:t>so de Suscripción serán enmendados</w:t>
      </w:r>
      <w:r w:rsidRPr="006B6155">
        <w:rPr>
          <w:sz w:val="20"/>
        </w:rPr>
        <w:t xml:space="preserve"> y/o complementados conforme lo establecido en la Adenda que se adjunta al presente como </w:t>
      </w:r>
      <w:r w:rsidRPr="009A546A">
        <w:rPr>
          <w:b/>
          <w:sz w:val="20"/>
        </w:rPr>
        <w:t>Anexo I</w:t>
      </w:r>
      <w:r w:rsidRPr="006B6155">
        <w:rPr>
          <w:sz w:val="20"/>
        </w:rPr>
        <w:t>.</w:t>
      </w:r>
    </w:p>
    <w:p w14:paraId="7E690E7F" w14:textId="77777777" w:rsidR="0019799F" w:rsidRPr="006B6155" w:rsidRDefault="0019799F" w:rsidP="009A546A">
      <w:pPr>
        <w:spacing w:before="100" w:beforeAutospacing="1" w:after="100" w:afterAutospacing="1" w:line="276" w:lineRule="auto"/>
        <w:jc w:val="both"/>
        <w:rPr>
          <w:sz w:val="20"/>
        </w:rPr>
      </w:pPr>
    </w:p>
    <w:p w14:paraId="7AB5CACB" w14:textId="77777777" w:rsidR="0019799F" w:rsidRPr="006B6155" w:rsidRDefault="0019799F" w:rsidP="009A546A">
      <w:pPr>
        <w:spacing w:before="100" w:beforeAutospacing="1" w:after="100" w:afterAutospacing="1" w:line="276" w:lineRule="auto"/>
        <w:jc w:val="both"/>
        <w:rPr>
          <w:sz w:val="20"/>
          <w:rtl/>
        </w:rPr>
      </w:pPr>
    </w:p>
    <w:p w14:paraId="085D4A5F" w14:textId="77777777" w:rsidR="005B4058" w:rsidRPr="006B6155" w:rsidRDefault="005B4058" w:rsidP="005B4058">
      <w:pPr>
        <w:ind w:right="-2"/>
        <w:jc w:val="center"/>
        <w:rPr>
          <w:b/>
          <w:color w:val="000000"/>
          <w:sz w:val="20"/>
        </w:rPr>
      </w:pPr>
      <w:r w:rsidRPr="006B6155">
        <w:rPr>
          <w:b/>
          <w:color w:val="000000"/>
          <w:sz w:val="20"/>
        </w:rPr>
        <w:t>________________________________________</w:t>
      </w:r>
    </w:p>
    <w:p w14:paraId="7DFAD116" w14:textId="77777777" w:rsidR="005B4058" w:rsidRPr="006B6155" w:rsidRDefault="005B4058" w:rsidP="005B4058">
      <w:pPr>
        <w:ind w:right="-2"/>
        <w:jc w:val="center"/>
        <w:rPr>
          <w:snapToGrid w:val="0"/>
          <w:sz w:val="20"/>
        </w:rPr>
      </w:pPr>
      <w:r w:rsidRPr="006B6155">
        <w:rPr>
          <w:b/>
          <w:snapToGrid w:val="0"/>
          <w:sz w:val="20"/>
        </w:rPr>
        <w:t xml:space="preserve">Matías I. </w:t>
      </w:r>
      <w:proofErr w:type="spellStart"/>
      <w:r w:rsidRPr="006B6155">
        <w:rPr>
          <w:b/>
          <w:snapToGrid w:val="0"/>
          <w:sz w:val="20"/>
        </w:rPr>
        <w:t>Gaivironsky</w:t>
      </w:r>
      <w:proofErr w:type="spellEnd"/>
      <w:r w:rsidRPr="006B6155">
        <w:rPr>
          <w:snapToGrid w:val="0"/>
          <w:sz w:val="20"/>
        </w:rPr>
        <w:t xml:space="preserve"> </w:t>
      </w:r>
    </w:p>
    <w:p w14:paraId="1A342A23" w14:textId="77777777" w:rsidR="005B4058" w:rsidRPr="006B6155" w:rsidRDefault="005B4058" w:rsidP="005B4058">
      <w:pPr>
        <w:ind w:right="-2"/>
        <w:jc w:val="center"/>
        <w:rPr>
          <w:b/>
          <w:color w:val="000000"/>
          <w:sz w:val="20"/>
        </w:rPr>
      </w:pPr>
      <w:r w:rsidRPr="006B6155">
        <w:rPr>
          <w:b/>
          <w:color w:val="000000"/>
          <w:sz w:val="20"/>
        </w:rPr>
        <w:t>Subdelegado</w:t>
      </w:r>
    </w:p>
    <w:p w14:paraId="67AC7CD6" w14:textId="77777777" w:rsidR="00F6014E" w:rsidRPr="009A546A" w:rsidRDefault="00F6014E" w:rsidP="009A546A">
      <w:pPr>
        <w:spacing w:before="120" w:after="120"/>
        <w:contextualSpacing/>
        <w:rPr>
          <w:sz w:val="20"/>
        </w:rPr>
      </w:pPr>
    </w:p>
    <w:p w14:paraId="5F3E0511" w14:textId="3FC13C78" w:rsidR="00585907" w:rsidRPr="006B6155" w:rsidRDefault="00585907" w:rsidP="006067CB">
      <w:pPr>
        <w:spacing w:before="120" w:after="120"/>
        <w:contextualSpacing/>
        <w:rPr>
          <w:sz w:val="20"/>
        </w:rPr>
      </w:pPr>
    </w:p>
    <w:p w14:paraId="69554985" w14:textId="403FA62C" w:rsidR="005B4058" w:rsidRPr="006B6155" w:rsidRDefault="005B4058">
      <w:pPr>
        <w:rPr>
          <w:sz w:val="20"/>
        </w:rPr>
      </w:pPr>
      <w:r w:rsidRPr="006B6155">
        <w:rPr>
          <w:sz w:val="20"/>
        </w:rPr>
        <w:br w:type="page"/>
      </w:r>
    </w:p>
    <w:p w14:paraId="3E7BB454" w14:textId="48B0EFC3" w:rsidR="005B4058" w:rsidRPr="006B6155" w:rsidRDefault="005B4058" w:rsidP="005B4058">
      <w:pPr>
        <w:pStyle w:val="BHTexto"/>
        <w:widowControl w:val="0"/>
        <w:spacing w:before="240"/>
        <w:jc w:val="center"/>
        <w:rPr>
          <w:b/>
          <w:u w:val="single"/>
          <w:lang w:val="es-AR"/>
        </w:rPr>
      </w:pPr>
      <w:r w:rsidRPr="006B6155">
        <w:rPr>
          <w:b/>
          <w:u w:val="single"/>
          <w:lang w:val="es-AR"/>
        </w:rPr>
        <w:lastRenderedPageBreak/>
        <w:t>Anexo I</w:t>
      </w:r>
    </w:p>
    <w:p w14:paraId="206F6F0B" w14:textId="77777777" w:rsidR="005B4058" w:rsidRPr="006B6155" w:rsidRDefault="005B4058" w:rsidP="005B4058">
      <w:pPr>
        <w:pStyle w:val="BHTexto"/>
        <w:widowControl w:val="0"/>
        <w:spacing w:before="240"/>
        <w:rPr>
          <w:b/>
          <w:lang w:val="es-AR"/>
        </w:rPr>
      </w:pPr>
      <w:r w:rsidRPr="006B6155">
        <w:rPr>
          <w:b/>
          <w:lang w:val="es-AR"/>
        </w:rPr>
        <w:t xml:space="preserve">ADENDA AL SUPLEMENTO DE PROSPECTO Y CANJE Y AL AVISO DE SUSCRIPCIÓN </w:t>
      </w:r>
    </w:p>
    <w:p w14:paraId="6E03BF47" w14:textId="77777777" w:rsidR="005B4058" w:rsidRPr="006B6155" w:rsidRDefault="005B4058" w:rsidP="005B4058">
      <w:pPr>
        <w:jc w:val="center"/>
        <w:rPr>
          <w:b/>
          <w:sz w:val="20"/>
        </w:rPr>
      </w:pPr>
      <w:r w:rsidRPr="006B6155">
        <w:rPr>
          <w:b/>
          <w:noProof/>
          <w:sz w:val="20"/>
          <w:lang w:eastAsia="es-AR"/>
        </w:rPr>
        <w:drawing>
          <wp:inline distT="0" distB="0" distL="0" distR="0" wp14:anchorId="34DC1C41" wp14:editId="7B34BCDB">
            <wp:extent cx="1195070" cy="54229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5070" cy="542290"/>
                    </a:xfrm>
                    <a:prstGeom prst="rect">
                      <a:avLst/>
                    </a:prstGeom>
                    <a:noFill/>
                  </pic:spPr>
                </pic:pic>
              </a:graphicData>
            </a:graphic>
          </wp:inline>
        </w:drawing>
      </w:r>
    </w:p>
    <w:p w14:paraId="20CDEF2C" w14:textId="77777777" w:rsidR="005B4058" w:rsidRPr="006B6155" w:rsidRDefault="005B4058" w:rsidP="005B4058">
      <w:pPr>
        <w:pStyle w:val="Sangradetextonormal1"/>
        <w:widowControl w:val="0"/>
        <w:spacing w:before="120" w:after="120" w:afterAutospacing="0"/>
        <w:ind w:firstLine="0"/>
        <w:jc w:val="center"/>
        <w:rPr>
          <w:b/>
          <w:color w:val="000000"/>
          <w:sz w:val="20"/>
          <w:szCs w:val="20"/>
          <w:lang w:val="es-AR"/>
        </w:rPr>
      </w:pPr>
    </w:p>
    <w:p w14:paraId="175D1F83" w14:textId="77777777" w:rsidR="005B4058" w:rsidRPr="006B6155" w:rsidRDefault="005B4058" w:rsidP="005B4058">
      <w:pPr>
        <w:spacing w:after="120" w:line="240" w:lineRule="exact"/>
        <w:jc w:val="center"/>
        <w:rPr>
          <w:sz w:val="20"/>
        </w:rPr>
      </w:pPr>
      <w:r w:rsidRPr="006B6155">
        <w:rPr>
          <w:b/>
          <w:sz w:val="20"/>
        </w:rPr>
        <w:t>CRESUD SOCIEDAD ANÓNIMA COMERCIAL, INMOBILIARIA, FINANCIERA Y AGROPECUARIA</w:t>
      </w:r>
    </w:p>
    <w:p w14:paraId="01A9482B" w14:textId="77777777" w:rsidR="00C93D12" w:rsidRPr="006B6155" w:rsidRDefault="00C93D12" w:rsidP="00C93D12">
      <w:pPr>
        <w:spacing w:after="120" w:line="240" w:lineRule="exact"/>
        <w:jc w:val="both"/>
        <w:rPr>
          <w:sz w:val="20"/>
        </w:rPr>
      </w:pPr>
    </w:p>
    <w:p w14:paraId="5642441B" w14:textId="06702560" w:rsidR="00C93D12" w:rsidRPr="006B6155" w:rsidRDefault="00C93D12" w:rsidP="00C93D12">
      <w:pPr>
        <w:spacing w:after="120" w:line="240" w:lineRule="exact"/>
        <w:jc w:val="both"/>
        <w:rPr>
          <w:sz w:val="20"/>
        </w:rPr>
      </w:pPr>
      <w:proofErr w:type="spellStart"/>
      <w:r w:rsidRPr="006B6155">
        <w:rPr>
          <w:sz w:val="20"/>
        </w:rPr>
        <w:t>Cresud</w:t>
      </w:r>
      <w:proofErr w:type="spellEnd"/>
      <w:r w:rsidRPr="006B6155">
        <w:rPr>
          <w:sz w:val="20"/>
        </w:rPr>
        <w:t xml:space="preserve"> Sociedad Anónima Comercial, Inmobiliaria, Financiera y Agropecuaria (“</w:t>
      </w:r>
      <w:r w:rsidRPr="006B6155">
        <w:rPr>
          <w:sz w:val="20"/>
          <w:u w:val="single"/>
        </w:rPr>
        <w:t>CRESUD</w:t>
      </w:r>
      <w:r w:rsidRPr="006B6155">
        <w:rPr>
          <w:sz w:val="20"/>
        </w:rPr>
        <w:t>” o la “</w:t>
      </w:r>
      <w:r w:rsidRPr="006B6155">
        <w:rPr>
          <w:sz w:val="20"/>
          <w:u w:val="single"/>
        </w:rPr>
        <w:t>Compañía</w:t>
      </w:r>
      <w:r w:rsidRPr="006B6155">
        <w:rPr>
          <w:sz w:val="20"/>
        </w:rPr>
        <w:t>” o la “</w:t>
      </w:r>
      <w:r w:rsidRPr="006B6155">
        <w:rPr>
          <w:sz w:val="20"/>
          <w:u w:val="single"/>
        </w:rPr>
        <w:t>Emisora</w:t>
      </w:r>
      <w:r w:rsidRPr="006B6155">
        <w:rPr>
          <w:sz w:val="20"/>
        </w:rPr>
        <w:t xml:space="preserve">” indistintamente), con sede social en Carlos </w:t>
      </w:r>
      <w:proofErr w:type="spellStart"/>
      <w:r w:rsidRPr="006B6155">
        <w:rPr>
          <w:sz w:val="20"/>
        </w:rPr>
        <w:t>Della</w:t>
      </w:r>
      <w:proofErr w:type="spellEnd"/>
      <w:r w:rsidRPr="006B6155">
        <w:rPr>
          <w:sz w:val="20"/>
        </w:rPr>
        <w:t xml:space="preserve"> </w:t>
      </w:r>
      <w:proofErr w:type="spellStart"/>
      <w:r w:rsidRPr="006B6155">
        <w:rPr>
          <w:sz w:val="20"/>
        </w:rPr>
        <w:t>Paolera</w:t>
      </w:r>
      <w:proofErr w:type="spellEnd"/>
      <w:r w:rsidRPr="006B6155">
        <w:rPr>
          <w:sz w:val="20"/>
        </w:rPr>
        <w:t xml:space="preserve"> 261, Piso 9, (C1001ADA) Ciudad Autónoma de Buenos Aires, República Argentina, C.U.I.T.: 30-50930070-0, teléfono (+5411) 4323-7449, correo electrónico: ir@cresud.com.ar, y sitio web es www.cresud.com.ar. </w:t>
      </w:r>
    </w:p>
    <w:p w14:paraId="61B26474" w14:textId="1756790B" w:rsidR="00C93D12" w:rsidRPr="006B6155" w:rsidRDefault="00C93D12" w:rsidP="00C93D12">
      <w:pPr>
        <w:spacing w:after="120" w:line="240" w:lineRule="exact"/>
        <w:jc w:val="both"/>
        <w:rPr>
          <w:sz w:val="20"/>
        </w:rPr>
      </w:pPr>
      <w:r w:rsidRPr="006B6155">
        <w:rPr>
          <w:b/>
          <w:bCs/>
          <w:sz w:val="20"/>
        </w:rPr>
        <w:t>OFERTA DE CANJE DIRIGIDA A TENEDORES DE LAS OBLIGACIONES NEGOCIABLES DECIMO CUARTA SERIE CLASE XXV EN CIRCULACIÓN POR UN VALOR NOMINAL DE USD 59.561.897, CON VENCIMIENTO EL 11 DE JULIO DE 2021 (CÓDIGO DE ESPECIE CAJA DE VALORES: 54299; TICKER: CSFQO) (LOS “TENEDORES ELEGIBLES”).</w:t>
      </w:r>
    </w:p>
    <w:p w14:paraId="6A8EA4BA" w14:textId="77777777" w:rsidR="005B4058" w:rsidRPr="006B6155" w:rsidRDefault="005B4058" w:rsidP="005B4058">
      <w:pPr>
        <w:spacing w:after="120" w:line="240" w:lineRule="exact"/>
        <w:jc w:val="both"/>
        <w:rPr>
          <w:sz w:val="20"/>
        </w:rPr>
      </w:pPr>
      <w:r w:rsidRPr="006B6155">
        <w:rPr>
          <w:sz w:val="20"/>
        </w:rPr>
        <w:t>Oferta de Canje como consecuencia de lo dispuesto por la Comunicación “A” 7272, modificatoria de las comunicaciones “A” 7106 Y “A” 7230, que restringe el acceso al Mercado de Cambios para obtener dólares estadounidenses al imponer nuevas condiciones para la compra de divisas para quienes registren vencimientos de capital programados hasta el 31 de diciembre de 2021 por emisiones de títulos de deuda con registro público en el país denominados en moneda extranjera.</w:t>
      </w:r>
    </w:p>
    <w:p w14:paraId="7D525FFD" w14:textId="52615E2D" w:rsidR="005B4058" w:rsidRPr="006B6155" w:rsidRDefault="005B4058" w:rsidP="005B4058">
      <w:pPr>
        <w:autoSpaceDE w:val="0"/>
        <w:autoSpaceDN w:val="0"/>
        <w:spacing w:before="91"/>
        <w:ind w:left="274" w:right="159" w:firstLine="1"/>
        <w:jc w:val="center"/>
        <w:rPr>
          <w:b/>
          <w:sz w:val="20"/>
        </w:rPr>
      </w:pPr>
      <w:r w:rsidRPr="006B6155">
        <w:rPr>
          <w:b/>
          <w:sz w:val="20"/>
        </w:rPr>
        <w:t>DÉCIMA NOVENA SERIE CLASE XXXIII, DENOMINADAS Y PAGADERAS EN DÓLARES</w:t>
      </w:r>
      <w:r w:rsidRPr="006B6155">
        <w:rPr>
          <w:b/>
          <w:spacing w:val="1"/>
          <w:sz w:val="20"/>
        </w:rPr>
        <w:t xml:space="preserve"> </w:t>
      </w:r>
      <w:r w:rsidRPr="006B6155">
        <w:rPr>
          <w:b/>
          <w:sz w:val="20"/>
        </w:rPr>
        <w:t>ESTADOUNIDENSES, A UNA TASA DE INTERÉS FIJA NOMINAL ANUAL</w:t>
      </w:r>
      <w:r w:rsidR="00D43DC4" w:rsidRPr="006B6155">
        <w:rPr>
          <w:b/>
          <w:sz w:val="20"/>
        </w:rPr>
        <w:t xml:space="preserve"> DEL 6,99% NOMINAL ANUAL</w:t>
      </w:r>
      <w:r w:rsidRPr="006B6155">
        <w:rPr>
          <w:b/>
          <w:sz w:val="20"/>
        </w:rPr>
        <w:t>, CON</w:t>
      </w:r>
      <w:r w:rsidRPr="006B6155">
        <w:rPr>
          <w:b/>
          <w:spacing w:val="1"/>
          <w:sz w:val="20"/>
        </w:rPr>
        <w:t xml:space="preserve"> </w:t>
      </w:r>
      <w:r w:rsidRPr="006B6155">
        <w:rPr>
          <w:b/>
          <w:sz w:val="20"/>
        </w:rPr>
        <w:t>VENCIMIENTO A LOS 36 MESES DE LA FECHA DE EMISIÓN Y LIQUIDACIÓN, CON</w:t>
      </w:r>
      <w:r w:rsidRPr="006B6155">
        <w:rPr>
          <w:b/>
          <w:spacing w:val="1"/>
          <w:sz w:val="20"/>
        </w:rPr>
        <w:t xml:space="preserve"> </w:t>
      </w:r>
      <w:r w:rsidRPr="006B6155">
        <w:rPr>
          <w:b/>
          <w:sz w:val="20"/>
        </w:rPr>
        <w:t>AMORTIZACIONES ANUALES DEL 33%, 33% Y 34%, RESPECTIVAMENTE, POR UN VALOR</w:t>
      </w:r>
      <w:r w:rsidRPr="006B6155">
        <w:rPr>
          <w:b/>
          <w:spacing w:val="1"/>
          <w:sz w:val="20"/>
        </w:rPr>
        <w:t xml:space="preserve"> </w:t>
      </w:r>
      <w:r w:rsidRPr="006B6155">
        <w:rPr>
          <w:b/>
          <w:sz w:val="20"/>
        </w:rPr>
        <w:t>NOMINAL</w:t>
      </w:r>
      <w:r w:rsidRPr="006B6155">
        <w:rPr>
          <w:b/>
          <w:spacing w:val="-4"/>
          <w:sz w:val="20"/>
        </w:rPr>
        <w:t xml:space="preserve"> </w:t>
      </w:r>
      <w:r w:rsidRPr="006B6155">
        <w:rPr>
          <w:b/>
          <w:sz w:val="20"/>
        </w:rPr>
        <w:t>DE</w:t>
      </w:r>
      <w:r w:rsidRPr="006B6155">
        <w:rPr>
          <w:b/>
          <w:spacing w:val="-3"/>
          <w:sz w:val="20"/>
        </w:rPr>
        <w:t xml:space="preserve"> </w:t>
      </w:r>
      <w:r w:rsidRPr="006B6155">
        <w:rPr>
          <w:b/>
          <w:sz w:val="20"/>
        </w:rPr>
        <w:t>HASTA</w:t>
      </w:r>
      <w:r w:rsidRPr="006B6155">
        <w:rPr>
          <w:b/>
          <w:spacing w:val="-3"/>
          <w:sz w:val="20"/>
        </w:rPr>
        <w:t xml:space="preserve"> </w:t>
      </w:r>
      <w:r w:rsidRPr="006B6155">
        <w:rPr>
          <w:b/>
          <w:sz w:val="20"/>
        </w:rPr>
        <w:t>USD</w:t>
      </w:r>
      <w:r w:rsidRPr="006B6155">
        <w:rPr>
          <w:b/>
          <w:spacing w:val="-2"/>
          <w:sz w:val="20"/>
        </w:rPr>
        <w:t xml:space="preserve"> </w:t>
      </w:r>
      <w:r w:rsidRPr="006B6155">
        <w:rPr>
          <w:b/>
          <w:sz w:val="20"/>
        </w:rPr>
        <w:t>35.737.138</w:t>
      </w:r>
      <w:r w:rsidRPr="006B6155">
        <w:rPr>
          <w:b/>
          <w:spacing w:val="-2"/>
          <w:sz w:val="20"/>
        </w:rPr>
        <w:t xml:space="preserve"> </w:t>
      </w:r>
      <w:r w:rsidRPr="006B6155">
        <w:rPr>
          <w:b/>
          <w:sz w:val="20"/>
        </w:rPr>
        <w:t>(DÓLARES</w:t>
      </w:r>
      <w:r w:rsidRPr="006B6155">
        <w:rPr>
          <w:b/>
          <w:spacing w:val="-3"/>
          <w:sz w:val="20"/>
        </w:rPr>
        <w:t xml:space="preserve"> </w:t>
      </w:r>
      <w:r w:rsidRPr="006B6155">
        <w:rPr>
          <w:b/>
          <w:sz w:val="20"/>
        </w:rPr>
        <w:t>ESTADOUNIDENSES TREINTA</w:t>
      </w:r>
      <w:r w:rsidRPr="006B6155">
        <w:rPr>
          <w:b/>
          <w:spacing w:val="-3"/>
          <w:sz w:val="20"/>
        </w:rPr>
        <w:t xml:space="preserve"> </w:t>
      </w:r>
      <w:r w:rsidRPr="006B6155">
        <w:rPr>
          <w:b/>
          <w:sz w:val="20"/>
        </w:rPr>
        <w:t>Y</w:t>
      </w:r>
      <w:r w:rsidRPr="006B6155">
        <w:rPr>
          <w:b/>
          <w:spacing w:val="-2"/>
          <w:sz w:val="20"/>
        </w:rPr>
        <w:t xml:space="preserve"> </w:t>
      </w:r>
      <w:r w:rsidRPr="006B6155">
        <w:rPr>
          <w:b/>
          <w:sz w:val="20"/>
        </w:rPr>
        <w:t>CINCO</w:t>
      </w:r>
      <w:r w:rsidRPr="006B6155">
        <w:rPr>
          <w:b/>
          <w:spacing w:val="-2"/>
          <w:sz w:val="20"/>
        </w:rPr>
        <w:t xml:space="preserve"> </w:t>
      </w:r>
      <w:r w:rsidRPr="006B6155">
        <w:rPr>
          <w:b/>
          <w:sz w:val="20"/>
        </w:rPr>
        <w:t>MILLONES SETECIENTOS TREINTA Y SIETE MIL CIENTO TREINTA Y OCHO) (LAS “</w:t>
      </w:r>
      <w:r w:rsidRPr="006B6155">
        <w:rPr>
          <w:b/>
          <w:sz w:val="20"/>
          <w:u w:val="single"/>
        </w:rPr>
        <w:t>OBLIGACIONES</w:t>
      </w:r>
      <w:r w:rsidRPr="006B6155">
        <w:rPr>
          <w:b/>
          <w:spacing w:val="1"/>
          <w:sz w:val="20"/>
        </w:rPr>
        <w:t xml:space="preserve"> </w:t>
      </w:r>
      <w:r w:rsidRPr="006B6155">
        <w:rPr>
          <w:b/>
          <w:sz w:val="20"/>
          <w:u w:val="single"/>
        </w:rPr>
        <w:t>NEGOCIABLES CLASE XXXIII</w:t>
      </w:r>
      <w:r w:rsidRPr="006B6155">
        <w:rPr>
          <w:b/>
          <w:sz w:val="20"/>
        </w:rPr>
        <w:t>” Y/O LAS “</w:t>
      </w:r>
      <w:r w:rsidRPr="006B6155">
        <w:rPr>
          <w:b/>
          <w:sz w:val="20"/>
          <w:u w:val="single"/>
        </w:rPr>
        <w:t>OBLIGACIONES NEGOCIABLES</w:t>
      </w:r>
      <w:r w:rsidRPr="006B6155">
        <w:rPr>
          <w:b/>
          <w:sz w:val="20"/>
        </w:rPr>
        <w:t>”) A SER SUSCRIPTAS DE CONFORMIDAD CON LO ESTABLECIDO EN EL SUPLEMENTO DE PROSPECTO (CONFORME ESTE TÉRMINO SE DEFINE A CONTINUACIÓN)</w:t>
      </w:r>
      <w:r w:rsidR="006E5F15" w:rsidRPr="006B6155">
        <w:rPr>
          <w:b/>
          <w:sz w:val="20"/>
        </w:rPr>
        <w:t>.</w:t>
      </w:r>
    </w:p>
    <w:p w14:paraId="5C3966BE" w14:textId="7CF54B96" w:rsidR="005B4058" w:rsidRPr="006B6155" w:rsidRDefault="005B4058" w:rsidP="005B4058">
      <w:pPr>
        <w:pStyle w:val="BHTexto"/>
        <w:widowControl w:val="0"/>
        <w:rPr>
          <w:lang w:val="es-AR"/>
        </w:rPr>
      </w:pPr>
      <w:r w:rsidRPr="006B6155">
        <w:rPr>
          <w:lang w:val="es-AR"/>
        </w:rPr>
        <w:t>La presente adenda (la “</w:t>
      </w:r>
      <w:r w:rsidRPr="006B6155">
        <w:rPr>
          <w:u w:val="single"/>
          <w:lang w:val="es-AR"/>
        </w:rPr>
        <w:t>Adenda</w:t>
      </w:r>
      <w:r w:rsidRPr="006B6155">
        <w:rPr>
          <w:lang w:val="es-AR"/>
        </w:rPr>
        <w:t xml:space="preserve">”) </w:t>
      </w:r>
      <w:r w:rsidR="00D43DC4" w:rsidRPr="006B6155">
        <w:rPr>
          <w:lang w:val="es-AR"/>
        </w:rPr>
        <w:t>constituye una modificación de términos y condiciones del</w:t>
      </w:r>
      <w:r w:rsidRPr="006B6155">
        <w:rPr>
          <w:lang w:val="es-AR"/>
        </w:rPr>
        <w:t xml:space="preserve"> suplemento de prospecto y canje de fecha 11 de junio de 2021 (el “</w:t>
      </w:r>
      <w:r w:rsidRPr="006B6155">
        <w:rPr>
          <w:u w:val="single"/>
          <w:lang w:val="es-AR"/>
        </w:rPr>
        <w:t>Suplemento de Prospecto</w:t>
      </w:r>
      <w:r w:rsidR="004F2CDD" w:rsidRPr="006B6155">
        <w:rPr>
          <w:lang w:val="es-AR"/>
        </w:rPr>
        <w:t>”) y del</w:t>
      </w:r>
      <w:r w:rsidRPr="006B6155">
        <w:rPr>
          <w:lang w:val="es-AR"/>
        </w:rPr>
        <w:t xml:space="preserve"> aviso de suscripción de fecha 11 de junio de 2021 (el “</w:t>
      </w:r>
      <w:r w:rsidRPr="006B6155">
        <w:rPr>
          <w:u w:val="single"/>
          <w:lang w:val="es-AR"/>
        </w:rPr>
        <w:t>Aviso de Suscripción</w:t>
      </w:r>
      <w:r w:rsidRPr="006B6155">
        <w:rPr>
          <w:lang w:val="es-AR"/>
        </w:rPr>
        <w:t xml:space="preserve">”) </w:t>
      </w:r>
      <w:r w:rsidRPr="006B6155">
        <w:rPr>
          <w:snapToGrid w:val="0"/>
        </w:rPr>
        <w:t xml:space="preserve">publicados en dichas fechas en el Boletín Diario de la BCBA, en la Página Web de la CNV bajo el ítem “Empresas”, en la Página Web del MAE y en el sitio de internet de la Compañía: </w:t>
      </w:r>
      <w:hyperlink r:id="rId13" w:history="1">
        <w:r w:rsidRPr="006B6155">
          <w:rPr>
            <w:rStyle w:val="Hyperlink"/>
          </w:rPr>
          <w:t>www.cresud.com.ar</w:t>
        </w:r>
      </w:hyperlink>
      <w:r w:rsidRPr="006B6155">
        <w:rPr>
          <w:lang w:val="es-AR"/>
        </w:rPr>
        <w:t xml:space="preserve">, en relación con las Obligaciones Negociables </w:t>
      </w:r>
      <w:r w:rsidR="00D43DC4" w:rsidRPr="006B6155">
        <w:rPr>
          <w:lang w:val="es-AR"/>
        </w:rPr>
        <w:t xml:space="preserve">Clase XXXIII, </w:t>
      </w:r>
      <w:r w:rsidRPr="006B6155">
        <w:rPr>
          <w:lang w:val="es-AR"/>
        </w:rPr>
        <w:t xml:space="preserve">a ser emitidas </w:t>
      </w:r>
      <w:r w:rsidR="00D43DC4" w:rsidRPr="009A546A">
        <w:t xml:space="preserve">en </w:t>
      </w:r>
      <w:r w:rsidR="00D43DC4" w:rsidRPr="006B6155">
        <w:rPr>
          <w:snapToGrid w:val="0"/>
        </w:rPr>
        <w:t xml:space="preserve">el marco del Programa Global de Emisión de </w:t>
      </w:r>
      <w:r w:rsidR="00D43DC4" w:rsidRPr="009A546A">
        <w:t xml:space="preserve">Obligaciones Negociables </w:t>
      </w:r>
      <w:r w:rsidR="00D43DC4" w:rsidRPr="006B6155">
        <w:rPr>
          <w:snapToGrid w:val="0"/>
        </w:rPr>
        <w:t>Simples (no convertibles</w:t>
      </w:r>
      <w:r w:rsidR="00D43DC4" w:rsidRPr="009A546A">
        <w:t xml:space="preserve"> en </w:t>
      </w:r>
      <w:r w:rsidR="00D43DC4" w:rsidRPr="006B6155">
        <w:rPr>
          <w:snapToGrid w:val="0"/>
        </w:rPr>
        <w:t>acciones) por un valor nominal de hasta USD 500.000.0000 (Dólares Estadounidenses quinientos millones) (o su equivalente en otras monedas o unidades de valor) (el “</w:t>
      </w:r>
      <w:r w:rsidR="00D43DC4" w:rsidRPr="006B6155">
        <w:rPr>
          <w:snapToGrid w:val="0"/>
          <w:u w:val="single"/>
        </w:rPr>
        <w:t>Programa</w:t>
      </w:r>
      <w:r w:rsidR="00D43DC4" w:rsidRPr="006B6155">
        <w:rPr>
          <w:snapToGrid w:val="0"/>
        </w:rPr>
        <w:t>”), de acuerdo a los términos y condiciones establecidos en: (i) el Prospecto del Programa de fecha 23 de octubre de 2020</w:t>
      </w:r>
      <w:r w:rsidR="00D43DC4" w:rsidRPr="009A546A">
        <w:rPr>
          <w:lang w:val="es-ES"/>
        </w:rPr>
        <w:t xml:space="preserve"> </w:t>
      </w:r>
      <w:r w:rsidR="00D43DC4" w:rsidRPr="006B6155">
        <w:rPr>
          <w:snapToGrid w:val="0"/>
        </w:rPr>
        <w:t>(el “</w:t>
      </w:r>
      <w:r w:rsidR="00D43DC4" w:rsidRPr="006B6155">
        <w:rPr>
          <w:snapToGrid w:val="0"/>
          <w:u w:val="single"/>
        </w:rPr>
        <w:t>Prospecto</w:t>
      </w:r>
      <w:r w:rsidR="00D43DC4" w:rsidRPr="006B6155">
        <w:rPr>
          <w:snapToGrid w:val="0"/>
        </w:rPr>
        <w:t>”); (ii) el Suplemento de Prospecto; y (iii) el Aviso de Suscripción</w:t>
      </w:r>
      <w:r w:rsidRPr="006B6155">
        <w:rPr>
          <w:snapToGrid w:val="0"/>
        </w:rPr>
        <w:t xml:space="preserve"> (la “</w:t>
      </w:r>
      <w:r w:rsidRPr="006B6155">
        <w:rPr>
          <w:snapToGrid w:val="0"/>
          <w:u w:val="single"/>
        </w:rPr>
        <w:t>Oferta de Canje</w:t>
      </w:r>
      <w:r w:rsidRPr="006B6155">
        <w:rPr>
          <w:snapToGrid w:val="0"/>
        </w:rPr>
        <w:t xml:space="preserve">” o </w:t>
      </w:r>
      <w:r w:rsidR="004F2CDD" w:rsidRPr="006B6155">
        <w:rPr>
          <w:snapToGrid w:val="0"/>
          <w:lang w:val="es-ES"/>
        </w:rPr>
        <w:t>el</w:t>
      </w:r>
      <w:r w:rsidR="004F2CDD" w:rsidRPr="009A546A">
        <w:rPr>
          <w:lang w:val="es-ES"/>
        </w:rPr>
        <w:t xml:space="preserve"> </w:t>
      </w:r>
      <w:r w:rsidRPr="006B6155">
        <w:rPr>
          <w:snapToGrid w:val="0"/>
        </w:rPr>
        <w:t>“</w:t>
      </w:r>
      <w:r w:rsidRPr="006B6155">
        <w:rPr>
          <w:snapToGrid w:val="0"/>
          <w:u w:val="single"/>
        </w:rPr>
        <w:t>Canje</w:t>
      </w:r>
      <w:r w:rsidRPr="006B6155">
        <w:rPr>
          <w:snapToGrid w:val="0"/>
        </w:rPr>
        <w:t>”)</w:t>
      </w:r>
      <w:r w:rsidRPr="006B6155">
        <w:rPr>
          <w:lang w:val="es-AR"/>
        </w:rPr>
        <w:t xml:space="preserve">. </w:t>
      </w:r>
    </w:p>
    <w:p w14:paraId="3CA5AB81" w14:textId="02733587" w:rsidR="00D43DC4" w:rsidRPr="006B6155" w:rsidRDefault="00D43DC4" w:rsidP="00D43DC4">
      <w:pPr>
        <w:pStyle w:val="BHTexto"/>
        <w:widowControl w:val="0"/>
        <w:rPr>
          <w:b/>
        </w:rPr>
      </w:pPr>
      <w:r w:rsidRPr="006B6155">
        <w:rPr>
          <w:b/>
        </w:rPr>
        <w:t xml:space="preserve">TODO LO QUE NO SEA EXPRESAMENTE MODIFICADO POR LA PRESENTE ADENDA MANTIENE SU PLENA VALIDEZ Y VIGENCIA EN SUS TÉRMINOS ORIGINALES. LA INFORMACIÓN INCLUIDA EN LA PRESENTE ADENDA SE ENCUENTRA REFERIDA A LA INFORMACIÓN CONTENIDA EN EL SUPLEMENTO DE PROSPECTO, Y DEBERÁ </w:t>
      </w:r>
      <w:r w:rsidRPr="006B6155">
        <w:rPr>
          <w:b/>
        </w:rPr>
        <w:lastRenderedPageBreak/>
        <w:t xml:space="preserve">SER LEÍDA CONJUNTAMENTE CON EL MISMO, Y COMPLETADA CON LA INFORMACIÓN ALLÍ INCLUIDA. </w:t>
      </w:r>
      <w:r w:rsidRPr="006B6155">
        <w:rPr>
          <w:b/>
          <w:bCs/>
        </w:rPr>
        <w:t>LOS TÉRMINOS EN MAYÚSCULA NO DEFINIDOS EN LA PRESENTE ADENDA TENDRÁN EL SIGNIFICADO ASIGNADO EN EL SUPLEMENTO DE PROSPECTO.</w:t>
      </w:r>
    </w:p>
    <w:p w14:paraId="00C138AF" w14:textId="16FD7BC4" w:rsidR="005B4058" w:rsidRPr="009A546A" w:rsidRDefault="00F33088" w:rsidP="005B4058">
      <w:pPr>
        <w:pStyle w:val="BHTexto"/>
        <w:widowControl w:val="0"/>
        <w:rPr>
          <w:b/>
          <w:lang w:val="es-ES"/>
        </w:rPr>
      </w:pPr>
      <w:r w:rsidRPr="006B6155">
        <w:rPr>
          <w:b/>
          <w:snapToGrid w:val="0"/>
          <w:lang w:val="es-ES"/>
        </w:rPr>
        <w:t>La presente Adenda tiene por objeto implementar las siguientes modificaciones</w:t>
      </w:r>
      <w:r w:rsidRPr="009A546A">
        <w:rPr>
          <w:b/>
          <w:lang w:val="es-ES"/>
        </w:rPr>
        <w:t xml:space="preserve"> al Suplemento de Prospecto:</w:t>
      </w:r>
    </w:p>
    <w:p w14:paraId="5DFC84F5" w14:textId="0097009F" w:rsidR="00F33088" w:rsidRPr="000D03FB" w:rsidRDefault="00F33088" w:rsidP="000D03FB">
      <w:pPr>
        <w:pStyle w:val="BHTexto"/>
        <w:widowControl w:val="0"/>
        <w:rPr>
          <w:b/>
        </w:rPr>
      </w:pPr>
      <w:r w:rsidRPr="000D03FB">
        <w:rPr>
          <w:b/>
        </w:rPr>
        <w:t>(I) PRORROGAR LA FECHA DE EXPIRACIÓN HASTA EL DÍA 2 DE JULIO DE 2021 A LAS 20 HORAS, EXCLUSIVAMENTE PARA AQUELLOS TENEDORES QUE HUBIESEN</w:t>
      </w:r>
      <w:r w:rsidR="000D03FB" w:rsidRPr="000D03FB">
        <w:rPr>
          <w:b/>
        </w:rPr>
        <w:t xml:space="preserve"> </w:t>
      </w:r>
      <w:r w:rsidRPr="000D03FB">
        <w:rPr>
          <w:b/>
        </w:rPr>
        <w:t>SUSCRIPTO LAS OBLIGACIONES NEGOCIABLES CLASE XXXIII</w:t>
      </w:r>
      <w:r w:rsidR="006E5F15" w:rsidRPr="000D03FB">
        <w:rPr>
          <w:b/>
        </w:rPr>
        <w:t>,</w:t>
      </w:r>
      <w:r w:rsidRPr="000D03FB">
        <w:rPr>
          <w:b/>
        </w:rPr>
        <w:t xml:space="preserve"> MEDIANTE LA OPCIÓN PAR</w:t>
      </w:r>
      <w:r w:rsidR="00620D35" w:rsidRPr="000D03FB">
        <w:rPr>
          <w:b/>
        </w:rPr>
        <w:t xml:space="preserve"> EN O ANTES DEL</w:t>
      </w:r>
      <w:r w:rsidRPr="000D03FB">
        <w:rPr>
          <w:b/>
        </w:rPr>
        <w:t xml:space="preserve"> 28 DE JUNIO DE 2021, A LOS FINES DE OTORGARLE A TALES TENEDORES LA OPORTUNIDAD DE </w:t>
      </w:r>
      <w:r w:rsidR="004F2CDD" w:rsidRPr="000D03FB">
        <w:rPr>
          <w:b/>
        </w:rPr>
        <w:t xml:space="preserve">RATIFICAR O </w:t>
      </w:r>
      <w:r w:rsidRPr="000D03FB">
        <w:rPr>
          <w:b/>
        </w:rPr>
        <w:t xml:space="preserve">RETIRAR </w:t>
      </w:r>
      <w:r w:rsidR="004F2CDD" w:rsidRPr="000D03FB">
        <w:rPr>
          <w:b/>
        </w:rPr>
        <w:t xml:space="preserve">VÁLIDAMENTE </w:t>
      </w:r>
      <w:r w:rsidRPr="000D03FB">
        <w:rPr>
          <w:b/>
        </w:rPr>
        <w:t>SUS OFERTAS; Y</w:t>
      </w:r>
    </w:p>
    <w:p w14:paraId="015C68CA" w14:textId="36964D35" w:rsidR="00F33088" w:rsidRPr="006B6155" w:rsidRDefault="00F33088" w:rsidP="00F33088">
      <w:pPr>
        <w:pStyle w:val="BHTexto"/>
        <w:widowControl w:val="0"/>
        <w:rPr>
          <w:b/>
          <w:snapToGrid w:val="0"/>
          <w:lang w:val="es-ES"/>
        </w:rPr>
      </w:pPr>
      <w:r w:rsidRPr="006B6155">
        <w:rPr>
          <w:b/>
          <w:snapToGrid w:val="0"/>
          <w:lang w:val="es-ES"/>
        </w:rPr>
        <w:t xml:space="preserve">(II) </w:t>
      </w:r>
      <w:r w:rsidRPr="006B6155">
        <w:rPr>
          <w:b/>
          <w:snapToGrid w:val="0"/>
        </w:rPr>
        <w:t>MODIFICAR LA TASA DE INTERÉS FIJA DE LAS OBLIGACIONES NEGOCIABLES CLASE XXXIII, DE FORMA TAL QUE LA MISMA SERÁ DEL 6,99% NOMINAL ANUAL</w:t>
      </w:r>
      <w:r w:rsidRPr="006B6155">
        <w:rPr>
          <w:b/>
          <w:snapToGrid w:val="0"/>
          <w:lang w:val="es-ES"/>
        </w:rPr>
        <w:t>.</w:t>
      </w:r>
    </w:p>
    <w:p w14:paraId="44FFF481" w14:textId="46EEE65D" w:rsidR="005B4058" w:rsidRPr="006B6155" w:rsidRDefault="005B4058" w:rsidP="005B4058">
      <w:pPr>
        <w:pStyle w:val="BHTexto"/>
        <w:widowControl w:val="0"/>
      </w:pPr>
      <w:r w:rsidRPr="006B6155">
        <w:rPr>
          <w:lang w:val="es-AR"/>
        </w:rPr>
        <w:t xml:space="preserve">En virtud de lo </w:t>
      </w:r>
      <w:r w:rsidR="00890228" w:rsidRPr="006B6155">
        <w:rPr>
          <w:lang w:val="es-AR"/>
        </w:rPr>
        <w:t>anterior</w:t>
      </w:r>
      <w:r w:rsidRPr="006B6155">
        <w:rPr>
          <w:lang w:val="es-AR"/>
        </w:rPr>
        <w:t xml:space="preserve">, </w:t>
      </w:r>
      <w:r w:rsidRPr="006B6155">
        <w:t xml:space="preserve">la presente Adenda </w:t>
      </w:r>
      <w:r w:rsidR="00F33088" w:rsidRPr="006B6155">
        <w:rPr>
          <w:lang w:val="es-ES"/>
        </w:rPr>
        <w:t>modificará</w:t>
      </w:r>
      <w:r w:rsidRPr="006B6155">
        <w:t xml:space="preserve"> y/o complementar</w:t>
      </w:r>
      <w:r w:rsidR="00F33088" w:rsidRPr="006B6155">
        <w:rPr>
          <w:lang w:val="es-ES"/>
        </w:rPr>
        <w:t>á</w:t>
      </w:r>
      <w:r w:rsidRPr="006B6155">
        <w:t xml:space="preserve"> el Suplemento de Prospecto y el Aviso de Suscripción, según corresponda, de acuerdo con lo que se describe a continuación:</w:t>
      </w:r>
    </w:p>
    <w:p w14:paraId="2A53DA0C" w14:textId="5789E176" w:rsidR="005B4058" w:rsidRPr="006B6155" w:rsidRDefault="005B4058" w:rsidP="005B4058">
      <w:pPr>
        <w:pStyle w:val="BHTexto"/>
        <w:widowControl w:val="0"/>
      </w:pPr>
      <w:r w:rsidRPr="006B6155">
        <w:rPr>
          <w:b/>
          <w:u w:val="single"/>
        </w:rPr>
        <w:t xml:space="preserve">1. </w:t>
      </w:r>
      <w:r w:rsidR="00F33088" w:rsidRPr="006B6155">
        <w:rPr>
          <w:b/>
          <w:u w:val="single"/>
          <w:lang w:val="es-ES"/>
        </w:rPr>
        <w:t xml:space="preserve">MODIFICACIONES AL </w:t>
      </w:r>
      <w:r w:rsidRPr="006B6155">
        <w:rPr>
          <w:b/>
          <w:u w:val="single"/>
        </w:rPr>
        <w:t>SUPLEMENTO DE PROSPECTO</w:t>
      </w:r>
      <w:r w:rsidRPr="006B6155">
        <w:t xml:space="preserve">: </w:t>
      </w:r>
    </w:p>
    <w:p w14:paraId="6DE0D63F" w14:textId="77777777" w:rsidR="005B4058" w:rsidRPr="006B6155" w:rsidRDefault="005B4058" w:rsidP="005B4058">
      <w:pPr>
        <w:pStyle w:val="BHTexto"/>
        <w:widowControl w:val="0"/>
      </w:pPr>
      <w:r w:rsidRPr="006B6155">
        <w:rPr>
          <w:b/>
          <w:i/>
        </w:rPr>
        <w:t>Portada</w:t>
      </w:r>
      <w:r w:rsidRPr="006B6155">
        <w:t xml:space="preserve"> </w:t>
      </w:r>
    </w:p>
    <w:p w14:paraId="6588318F" w14:textId="198C417F" w:rsidR="005B4058" w:rsidRPr="006B6155" w:rsidRDefault="00464280" w:rsidP="005B4058">
      <w:pPr>
        <w:pStyle w:val="BHTexto"/>
        <w:widowControl w:val="0"/>
      </w:pPr>
      <w:r w:rsidRPr="006B6155">
        <w:t>La Emisora realiza</w:t>
      </w:r>
      <w:r w:rsidR="008B5032" w:rsidRPr="006B6155">
        <w:t xml:space="preserve"> las siguientes modificaciones </w:t>
      </w:r>
      <w:r w:rsidR="00890228" w:rsidRPr="006B6155">
        <w:rPr>
          <w:lang w:val="es-ES"/>
        </w:rPr>
        <w:t>a</w:t>
      </w:r>
      <w:r w:rsidR="000D03FB">
        <w:rPr>
          <w:lang w:val="es-ES"/>
        </w:rPr>
        <w:t>l siguiente párrafo de</w:t>
      </w:r>
      <w:r w:rsidR="008B5032" w:rsidRPr="009A546A">
        <w:rPr>
          <w:lang w:val="es-ES"/>
        </w:rPr>
        <w:t xml:space="preserve"> </w:t>
      </w:r>
      <w:r w:rsidR="005B4058" w:rsidRPr="006B6155">
        <w:t>la portada del Suplemento de Prospecto:</w:t>
      </w:r>
    </w:p>
    <w:p w14:paraId="34E232C3" w14:textId="77777777" w:rsidR="005B4058" w:rsidRPr="006B6155" w:rsidRDefault="005B4058" w:rsidP="005B4058">
      <w:pPr>
        <w:pStyle w:val="BHTexto"/>
        <w:ind w:left="708"/>
        <w:rPr>
          <w:b/>
          <w:i/>
          <w:lang w:val="es-AR"/>
        </w:rPr>
      </w:pPr>
      <w:r w:rsidRPr="006B6155">
        <w:rPr>
          <w:b/>
          <w:i/>
          <w:lang w:val="es-AR"/>
        </w:rPr>
        <w:t>“OBLIGACIONES NEGOCIABLES CLASE XXXIII, DENOMINADAS Y PAGADERAS EN DÓLARES ESTADOUNIDENSES, A UNA TASA DE INTERÉS FIJA NOMINAL ANUAL DEL 6,99%, CON VENCIMIENTO A LOS 36 MESES DE LA FECHA DE EMISIÓN Y LIQUIDACIÓN, CON AMORTIZACIONES ANUALES DEL 33%, 33% Y 34%, RESPECTIVAMENTE, POR UN VALOR NOMINAL DE HASTA USD 35.737.138 (DÓLARES ESTADOUNIDENSES TREINTA Y CINCO MILLONES SETECIENTOS TREINTA Y SIETE MIL CIENTO TREINTA Y OCHO) (LAS “OBLIGACIONES NEGOCIABLES CLASE XXXIII” Y/O LAS “OBLIGACIONES NEGOCIABLES”), A SER SUSCRIPTAS MEDIANTE CUALQUERA DE LAS ALTERNATIVAS QUE SE DESCRIBEN A CONTINUACIÓN:”</w:t>
      </w:r>
    </w:p>
    <w:p w14:paraId="64C22753" w14:textId="77777777" w:rsidR="005B4058" w:rsidRPr="006B6155" w:rsidRDefault="005B4058" w:rsidP="005B4058">
      <w:pPr>
        <w:pStyle w:val="BHTexto"/>
        <w:widowControl w:val="0"/>
      </w:pPr>
      <w:r w:rsidRPr="006B6155">
        <w:t>Se reemplaza el segundo párrafo luego del título “</w:t>
      </w:r>
      <w:r w:rsidRPr="006B6155">
        <w:rPr>
          <w:i/>
          <w:u w:val="single"/>
        </w:rPr>
        <w:t>Sobre las Obligaciones Negociables</w:t>
      </w:r>
      <w:r w:rsidRPr="006B6155">
        <w:t>” de la portada del Suplemento de Prospecto por el siguiente:</w:t>
      </w:r>
    </w:p>
    <w:p w14:paraId="4090C4A7" w14:textId="4C2596A9" w:rsidR="005B4058" w:rsidRPr="006B6155" w:rsidRDefault="005B4058" w:rsidP="00890228">
      <w:pPr>
        <w:pStyle w:val="BHTexto"/>
        <w:ind w:left="708"/>
        <w:rPr>
          <w:i/>
          <w:lang w:val="es-AR"/>
        </w:rPr>
      </w:pPr>
      <w:r w:rsidRPr="006B6155">
        <w:rPr>
          <w:i/>
          <w:lang w:val="es-AR"/>
        </w:rPr>
        <w:t xml:space="preserve">“Las Obligaciones Negociables Clase XXXIII devengarán intereses a una tasa de interés fija </w:t>
      </w:r>
      <w:r w:rsidR="000419DA" w:rsidRPr="006B6155">
        <w:rPr>
          <w:i/>
          <w:lang w:val="es-AR"/>
        </w:rPr>
        <w:t xml:space="preserve">nominal </w:t>
      </w:r>
      <w:r w:rsidRPr="006B6155">
        <w:rPr>
          <w:i/>
          <w:lang w:val="es-AR"/>
        </w:rPr>
        <w:t>anual del 6,99%, pagaderos en Dólares Estadounidenses, semestralmente por período vencido desde la Fecha de Emisión y Liquidación. Para más información, ver la sección “Oferta de los Valores Negociables” del presente Suplemento de Prospecto.”</w:t>
      </w:r>
    </w:p>
    <w:p w14:paraId="65021696" w14:textId="16485D35" w:rsidR="005B4058" w:rsidRPr="006B6155" w:rsidRDefault="00464280" w:rsidP="005B4058">
      <w:pPr>
        <w:pStyle w:val="BHTexto"/>
        <w:widowControl w:val="0"/>
      </w:pPr>
      <w:r w:rsidRPr="006B6155">
        <w:t>La Emisora realiza</w:t>
      </w:r>
      <w:r w:rsidR="008B5032" w:rsidRPr="006B6155">
        <w:t xml:space="preserve"> las siguientes modificaciones </w:t>
      </w:r>
      <w:r w:rsidR="008B5032" w:rsidRPr="006B6155">
        <w:rPr>
          <w:lang w:val="es-ES"/>
        </w:rPr>
        <w:t>a</w:t>
      </w:r>
      <w:r w:rsidR="000D03FB">
        <w:rPr>
          <w:lang w:val="es-ES"/>
        </w:rPr>
        <w:t>l texto del siguiente apartado de la página 39 de</w:t>
      </w:r>
      <w:r w:rsidR="008B5032" w:rsidRPr="009A546A">
        <w:rPr>
          <w:lang w:val="es-ES"/>
        </w:rPr>
        <w:t xml:space="preserve"> </w:t>
      </w:r>
      <w:r w:rsidR="005B4058" w:rsidRPr="006B6155">
        <w:t>la sección “</w:t>
      </w:r>
      <w:r w:rsidR="005B4058" w:rsidRPr="006B6155">
        <w:rPr>
          <w:i/>
        </w:rPr>
        <w:t>Oferta de los Valores Negociables – a) Resumen de los Términos y Condiciones de las Obligaciones Negociables</w:t>
      </w:r>
      <w:r w:rsidR="008B5032" w:rsidRPr="006B6155">
        <w:t>” del Suplemento de Prospecto</w:t>
      </w:r>
      <w:r w:rsidR="005B4058" w:rsidRPr="006B6155">
        <w:t>:</w:t>
      </w:r>
    </w:p>
    <w:tbl>
      <w:tblPr>
        <w:tblW w:w="8897" w:type="dxa"/>
        <w:tblLayout w:type="fixed"/>
        <w:tblLook w:val="0000" w:firstRow="0" w:lastRow="0" w:firstColumn="0" w:lastColumn="0" w:noHBand="0" w:noVBand="0"/>
      </w:tblPr>
      <w:tblGrid>
        <w:gridCol w:w="4077"/>
        <w:gridCol w:w="4820"/>
      </w:tblGrid>
      <w:tr w:rsidR="005B4058" w:rsidRPr="006B6155" w14:paraId="33255699" w14:textId="77777777" w:rsidTr="009A546A">
        <w:trPr>
          <w:trHeight w:val="711"/>
        </w:trPr>
        <w:tc>
          <w:tcPr>
            <w:tcW w:w="4077" w:type="dxa"/>
          </w:tcPr>
          <w:p w14:paraId="1C296DC2" w14:textId="77777777" w:rsidR="005B4058" w:rsidRPr="006B6155" w:rsidRDefault="005B4058" w:rsidP="009E195A">
            <w:pPr>
              <w:tabs>
                <w:tab w:val="left" w:leader="dot" w:pos="2919"/>
              </w:tabs>
              <w:autoSpaceDE w:val="0"/>
              <w:autoSpaceDN w:val="0"/>
              <w:adjustRightInd w:val="0"/>
              <w:spacing w:before="120"/>
              <w:jc w:val="both"/>
              <w:rPr>
                <w:b/>
                <w:i/>
                <w:sz w:val="20"/>
              </w:rPr>
            </w:pPr>
            <w:r w:rsidRPr="006B6155">
              <w:rPr>
                <w:b/>
                <w:i/>
                <w:sz w:val="20"/>
              </w:rPr>
              <w:t>14. Tasa de Interés</w:t>
            </w:r>
            <w:r w:rsidRPr="006B6155">
              <w:rPr>
                <w:i/>
                <w:sz w:val="20"/>
              </w:rPr>
              <w:tab/>
            </w:r>
          </w:p>
        </w:tc>
        <w:tc>
          <w:tcPr>
            <w:tcW w:w="4820" w:type="dxa"/>
          </w:tcPr>
          <w:p w14:paraId="7C646937" w14:textId="77777777" w:rsidR="005B4058" w:rsidRPr="006B6155" w:rsidRDefault="005B4058" w:rsidP="009E195A">
            <w:pPr>
              <w:autoSpaceDE w:val="0"/>
              <w:autoSpaceDN w:val="0"/>
              <w:adjustRightInd w:val="0"/>
              <w:spacing w:before="120" w:after="120"/>
              <w:jc w:val="both"/>
              <w:rPr>
                <w:i/>
                <w:sz w:val="20"/>
              </w:rPr>
            </w:pPr>
          </w:p>
        </w:tc>
      </w:tr>
      <w:tr w:rsidR="005B4058" w:rsidRPr="006B6155" w14:paraId="4353AB58" w14:textId="77777777" w:rsidTr="009A546A">
        <w:trPr>
          <w:trHeight w:val="566"/>
        </w:trPr>
        <w:tc>
          <w:tcPr>
            <w:tcW w:w="4077" w:type="dxa"/>
          </w:tcPr>
          <w:p w14:paraId="3A77E98C" w14:textId="77777777" w:rsidR="005B4058" w:rsidRPr="006B6155" w:rsidRDefault="005B4058" w:rsidP="009E195A">
            <w:pPr>
              <w:tabs>
                <w:tab w:val="left" w:leader="dot" w:pos="2919"/>
              </w:tabs>
              <w:autoSpaceDE w:val="0"/>
              <w:autoSpaceDN w:val="0"/>
              <w:adjustRightInd w:val="0"/>
              <w:spacing w:before="120"/>
              <w:jc w:val="both"/>
              <w:rPr>
                <w:i/>
                <w:sz w:val="20"/>
              </w:rPr>
            </w:pPr>
            <w:r w:rsidRPr="006B6155">
              <w:rPr>
                <w:b/>
                <w:i/>
                <w:sz w:val="20"/>
              </w:rPr>
              <w:t>a. Tasa de Interés</w:t>
            </w:r>
            <w:r w:rsidRPr="006B6155">
              <w:rPr>
                <w:i/>
                <w:sz w:val="20"/>
              </w:rPr>
              <w:t>………………</w:t>
            </w:r>
          </w:p>
        </w:tc>
        <w:tc>
          <w:tcPr>
            <w:tcW w:w="4820" w:type="dxa"/>
          </w:tcPr>
          <w:p w14:paraId="25478204" w14:textId="712C6F60" w:rsidR="005B4058" w:rsidRPr="006B6155" w:rsidRDefault="005B4058" w:rsidP="009E195A">
            <w:pPr>
              <w:autoSpaceDE w:val="0"/>
              <w:autoSpaceDN w:val="0"/>
              <w:adjustRightInd w:val="0"/>
              <w:spacing w:before="120" w:after="120"/>
              <w:jc w:val="both"/>
              <w:rPr>
                <w:i/>
                <w:sz w:val="20"/>
              </w:rPr>
            </w:pPr>
            <w:r w:rsidRPr="006B6155">
              <w:rPr>
                <w:i/>
                <w:sz w:val="20"/>
              </w:rPr>
              <w:t>Las Obligaciones Negociables devengarán intereses a una tasa de interés fija nominal anual de</w:t>
            </w:r>
            <w:r w:rsidR="00890228" w:rsidRPr="006B6155">
              <w:rPr>
                <w:i/>
                <w:sz w:val="20"/>
              </w:rPr>
              <w:t>l</w:t>
            </w:r>
            <w:r w:rsidRPr="006B6155">
              <w:rPr>
                <w:i/>
                <w:sz w:val="20"/>
              </w:rPr>
              <w:t xml:space="preserve"> 6,99%.</w:t>
            </w:r>
          </w:p>
        </w:tc>
      </w:tr>
    </w:tbl>
    <w:p w14:paraId="71325EA5" w14:textId="77777777" w:rsidR="005B4058" w:rsidRPr="006B6155" w:rsidRDefault="005B4058" w:rsidP="005B4058">
      <w:pPr>
        <w:pStyle w:val="BHTexto"/>
        <w:widowControl w:val="0"/>
      </w:pPr>
      <w:r w:rsidRPr="006B6155">
        <w:lastRenderedPageBreak/>
        <w:t>Se reemplaza el texto del siguiente apartado de la página 45 de la sección “</w:t>
      </w:r>
      <w:r w:rsidRPr="006B6155">
        <w:rPr>
          <w:i/>
        </w:rPr>
        <w:t>Oferta de los Valores Negociables– b) Descripción de la Oferta y Negociación- Generales</w:t>
      </w:r>
      <w:r w:rsidRPr="006B6155">
        <w:t>” del Suplemento de Prospecto, de la siguiente manera:</w:t>
      </w:r>
    </w:p>
    <w:p w14:paraId="3465C64B" w14:textId="77777777" w:rsidR="005B4058" w:rsidRPr="006B6155" w:rsidRDefault="005B4058" w:rsidP="005B4058">
      <w:pPr>
        <w:pStyle w:val="BHTexto"/>
        <w:ind w:left="708"/>
        <w:rPr>
          <w:i/>
          <w:lang w:val="es-AR"/>
        </w:rPr>
      </w:pPr>
      <w:r w:rsidRPr="006B6155">
        <w:rPr>
          <w:i/>
          <w:lang w:val="es-AR"/>
        </w:rPr>
        <w:t>“Los intereses sobre las Obligaciones Negociables Clase XXXIII:</w:t>
      </w:r>
    </w:p>
    <w:p w14:paraId="0808E664" w14:textId="50B9ADC2" w:rsidR="005B4058" w:rsidRPr="006B6155" w:rsidRDefault="005B4058" w:rsidP="000419DA">
      <w:pPr>
        <w:pStyle w:val="BHTexto"/>
        <w:numPr>
          <w:ilvl w:val="0"/>
          <w:numId w:val="30"/>
        </w:numPr>
        <w:adjustRightInd w:val="0"/>
        <w:rPr>
          <w:i/>
          <w:lang w:val="es-AR"/>
        </w:rPr>
      </w:pPr>
      <w:r w:rsidRPr="006B6155">
        <w:rPr>
          <w:i/>
          <w:lang w:val="es-AR"/>
        </w:rPr>
        <w:t>se devengarán a una tasa de interés fija nominal anual de 6,99%, desde la Fecha de Emisión y Liquidación, o si ya se hubieran pagado intereses, desde la Fecha de Pago de Intereses más reciente hasta la Fecha de Pago de Intereses subsiguiente exclusive, según sea informado en el Aviso de Suscripción. Véase “—Tasa de Interés</w:t>
      </w:r>
      <w:r w:rsidR="00297AF2">
        <w:rPr>
          <w:i/>
          <w:lang w:val="es-AR"/>
        </w:rPr>
        <w:t>”.</w:t>
      </w:r>
    </w:p>
    <w:p w14:paraId="587B4226" w14:textId="77777777" w:rsidR="005B4058" w:rsidRPr="006B6155" w:rsidRDefault="005B4058" w:rsidP="005B4058">
      <w:pPr>
        <w:pStyle w:val="BHTexto"/>
        <w:widowControl w:val="0"/>
      </w:pPr>
      <w:r w:rsidRPr="006B6155">
        <w:t>Se reemplaza el texto del siguiente apartado de la página 46 de la sección “</w:t>
      </w:r>
      <w:r w:rsidRPr="006B6155">
        <w:rPr>
          <w:i/>
        </w:rPr>
        <w:t>Oferta de los Valores Negociables– b) Descripción de la Oferta y Negociación- Tasa de Interés</w:t>
      </w:r>
      <w:r w:rsidRPr="006B6155">
        <w:t>” del Suplemento de Prospecto, de la siguiente manera:</w:t>
      </w:r>
    </w:p>
    <w:p w14:paraId="69DF2746" w14:textId="6800BAB1" w:rsidR="005B4058" w:rsidRPr="006B6155" w:rsidRDefault="005B4058" w:rsidP="000419DA">
      <w:pPr>
        <w:pStyle w:val="BHTexto"/>
        <w:ind w:left="708"/>
        <w:rPr>
          <w:i/>
          <w:lang w:val="es-AR"/>
        </w:rPr>
      </w:pPr>
      <w:r w:rsidRPr="006B6155">
        <w:rPr>
          <w:i/>
          <w:lang w:val="es-AR"/>
        </w:rPr>
        <w:t>“Las Obligaciones Negociables Clase XXXIII devengarán intereses a una tasa de interés fija nominal anual de 6,99% a partir de la Fecha de Emisión y Liquidación o desde la última Fecha de Pago de Intereses (tal como se define cada uno de estos términos a continuación), hasta la que se hubieran pagado o debidamente dispuesto el pago de intereses sobre dicha Obligación Negociable a dicha tasa fija anual, hasta el pago o la disposición del pago de su capital. Los intereses se pagarán por plazo vencido en cada fecha de pago de intereses (cada una, una “Fecha de Pago de Intereses”), y en la Fecha de Vencimiento y en caso de rescate o caducidad de plazos, según se especifica bajo el título “Pago de capital e intereses”, más adelante.”</w:t>
      </w:r>
    </w:p>
    <w:p w14:paraId="54078AF6" w14:textId="7E4BDD4A" w:rsidR="000419DA" w:rsidRPr="006B6155" w:rsidRDefault="000419DA" w:rsidP="000419DA">
      <w:pPr>
        <w:pStyle w:val="BHTexto"/>
        <w:widowControl w:val="0"/>
      </w:pPr>
      <w:r w:rsidRPr="006B6155">
        <w:t xml:space="preserve">La Emisora </w:t>
      </w:r>
      <w:r w:rsidR="00464280" w:rsidRPr="006B6155">
        <w:t>realiza</w:t>
      </w:r>
      <w:r w:rsidRPr="006B6155">
        <w:t xml:space="preserve"> las siguientes modificaciones a la Sección “</w:t>
      </w:r>
      <w:r w:rsidRPr="006B6155">
        <w:rPr>
          <w:i/>
        </w:rPr>
        <w:t>H</w:t>
      </w:r>
      <w:r w:rsidRPr="006B6155">
        <w:rPr>
          <w:i/>
          <w:lang w:val="es-ES"/>
        </w:rPr>
        <w:t>orarios y Fechas Importantes</w:t>
      </w:r>
      <w:r w:rsidRPr="006B6155">
        <w:t>” del Suplemento de Prospecto.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2768"/>
        <w:gridCol w:w="2768"/>
      </w:tblGrid>
      <w:tr w:rsidR="000419DA" w:rsidRPr="006B6155" w14:paraId="1D0DB84F" w14:textId="77777777" w:rsidTr="0014350A">
        <w:trPr>
          <w:trHeight w:val="2354"/>
        </w:trPr>
        <w:tc>
          <w:tcPr>
            <w:tcW w:w="2767" w:type="dxa"/>
          </w:tcPr>
          <w:p w14:paraId="524DF844" w14:textId="001BF8FA" w:rsidR="000419DA" w:rsidRPr="006B6155" w:rsidRDefault="000419DA" w:rsidP="000419DA">
            <w:pPr>
              <w:pStyle w:val="BHTexto"/>
              <w:widowControl w:val="0"/>
              <w:rPr>
                <w:b/>
                <w:i/>
                <w:lang w:val="es-ES"/>
              </w:rPr>
            </w:pPr>
            <w:r w:rsidRPr="006B6155">
              <w:rPr>
                <w:b/>
                <w:i/>
                <w:lang w:val="es-ES"/>
              </w:rPr>
              <w:t>Fecha de Expiración</w:t>
            </w:r>
          </w:p>
        </w:tc>
        <w:tc>
          <w:tcPr>
            <w:tcW w:w="2768" w:type="dxa"/>
          </w:tcPr>
          <w:p w14:paraId="143A3D12" w14:textId="4B8571C2" w:rsidR="000419DA" w:rsidRPr="006B6155" w:rsidRDefault="000419DA" w:rsidP="00773ADF">
            <w:pPr>
              <w:pStyle w:val="BHTexto"/>
              <w:widowControl w:val="0"/>
              <w:rPr>
                <w:b/>
                <w:i/>
                <w:u w:val="single"/>
                <w:lang w:val="es-ES"/>
              </w:rPr>
            </w:pPr>
            <w:r w:rsidRPr="006B6155">
              <w:rPr>
                <w:i/>
              </w:rPr>
              <w:t>20:00 horas (horario de la Ciudad de Buenos Aires) del 2</w:t>
            </w:r>
            <w:r w:rsidRPr="006B6155">
              <w:rPr>
                <w:i/>
                <w:lang w:val="es-ES"/>
              </w:rPr>
              <w:t>8 de junio de 2021</w:t>
            </w:r>
            <w:r w:rsidR="00773ADF" w:rsidRPr="006B6155">
              <w:rPr>
                <w:i/>
                <w:lang w:val="es-ES"/>
              </w:rPr>
              <w:t>, salvo para aquellos Tenedores Elegibles</w:t>
            </w:r>
            <w:r w:rsidR="00773ADF" w:rsidRPr="006B6155">
              <w:rPr>
                <w:i/>
              </w:rPr>
              <w:t xml:space="preserve"> </w:t>
            </w:r>
            <w:r w:rsidR="00773ADF" w:rsidRPr="006B6155">
              <w:rPr>
                <w:i/>
                <w:lang w:val="es-ES"/>
              </w:rPr>
              <w:t>que hubiesen suscripto las Obligaciones Negociables Clase XXXIII mediante la Opción Par en o antes del 28 de junio de 2021</w:t>
            </w:r>
            <w:r w:rsidR="002F42D6" w:rsidRPr="006B6155">
              <w:rPr>
                <w:i/>
                <w:lang w:val="es-ES"/>
              </w:rPr>
              <w:t xml:space="preserve"> y deseen retirar sus Ofertas</w:t>
            </w:r>
            <w:r w:rsidR="00773ADF" w:rsidRPr="006B6155">
              <w:rPr>
                <w:i/>
                <w:lang w:val="es-ES"/>
              </w:rPr>
              <w:t xml:space="preserve">, en cuyo caso será </w:t>
            </w:r>
            <w:r w:rsidR="00A24EC4" w:rsidRPr="006B6155">
              <w:rPr>
                <w:i/>
                <w:lang w:val="es-ES"/>
              </w:rPr>
              <w:t xml:space="preserve">el </w:t>
            </w:r>
            <w:r w:rsidR="00773ADF" w:rsidRPr="006B6155">
              <w:rPr>
                <w:i/>
                <w:lang w:val="es-ES"/>
              </w:rPr>
              <w:t xml:space="preserve">2 de julio de 2021; </w:t>
            </w:r>
            <w:r w:rsidR="00773ADF" w:rsidRPr="006B6155">
              <w:rPr>
                <w:i/>
                <w:lang w:val="es-AR"/>
              </w:rPr>
              <w:t>excepto que dicha fecha sea extendida, en cuyo caso se informará mediante un aviso complementario al presente Suplemento de Prospecto.</w:t>
            </w:r>
          </w:p>
        </w:tc>
        <w:tc>
          <w:tcPr>
            <w:tcW w:w="2768" w:type="dxa"/>
          </w:tcPr>
          <w:p w14:paraId="19459264" w14:textId="478C2244" w:rsidR="000419DA" w:rsidRPr="006B6155" w:rsidRDefault="000419DA" w:rsidP="000419DA">
            <w:pPr>
              <w:pStyle w:val="BHTexto"/>
              <w:widowControl w:val="0"/>
              <w:rPr>
                <w:b/>
                <w:i/>
                <w:u w:val="single"/>
                <w:lang w:val="es-ES"/>
              </w:rPr>
            </w:pPr>
            <w:r w:rsidRPr="006B6155">
              <w:rPr>
                <w:i/>
              </w:rPr>
              <w:t>Es la fecha límite para que los Tenedores Elegibles presenten válidamente las Obligaciones Negociables Existentes</w:t>
            </w:r>
            <w:r w:rsidR="00890228" w:rsidRPr="006B6155">
              <w:rPr>
                <w:i/>
                <w:lang w:val="es-ES"/>
              </w:rPr>
              <w:t>, y/o retiren sus Ofertas, según sea el caso</w:t>
            </w:r>
            <w:r w:rsidRPr="006B6155">
              <w:rPr>
                <w:i/>
              </w:rPr>
              <w:t xml:space="preserve">. Véase </w:t>
            </w:r>
            <w:r w:rsidRPr="006B6155">
              <w:rPr>
                <w:i/>
                <w:iCs/>
              </w:rPr>
              <w:t xml:space="preserve">“Oferta de Suscripción de Obligaciones Negociables en Canje de Obligaciones Negociables Existentes—b) Descripción de la Oferta de Canje”. </w:t>
            </w:r>
          </w:p>
        </w:tc>
      </w:tr>
      <w:tr w:rsidR="002F42D6" w:rsidRPr="006B6155" w14:paraId="18076225" w14:textId="77777777" w:rsidTr="006E5C62">
        <w:trPr>
          <w:trHeight w:val="1585"/>
        </w:trPr>
        <w:tc>
          <w:tcPr>
            <w:tcW w:w="2767" w:type="dxa"/>
          </w:tcPr>
          <w:p w14:paraId="5960AEA3" w14:textId="302CBAB3" w:rsidR="002F42D6" w:rsidRPr="006B6155" w:rsidRDefault="002F42D6" w:rsidP="000419DA">
            <w:pPr>
              <w:pStyle w:val="BHTexto"/>
              <w:widowControl w:val="0"/>
              <w:rPr>
                <w:b/>
                <w:i/>
                <w:lang w:val="es-ES"/>
              </w:rPr>
            </w:pPr>
            <w:r w:rsidRPr="006B6155">
              <w:rPr>
                <w:b/>
                <w:i/>
                <w:lang w:val="es-ES"/>
              </w:rPr>
              <w:t>Período adicional para retirar Ofertas suscriptas bajo la Opción Par.</w:t>
            </w:r>
          </w:p>
        </w:tc>
        <w:tc>
          <w:tcPr>
            <w:tcW w:w="2768" w:type="dxa"/>
          </w:tcPr>
          <w:p w14:paraId="6D187DA7" w14:textId="1A4FEC6A" w:rsidR="002F42D6" w:rsidRPr="006B6155" w:rsidRDefault="002F42D6" w:rsidP="002F42D6">
            <w:pPr>
              <w:pStyle w:val="BHTexto"/>
              <w:widowControl w:val="0"/>
              <w:rPr>
                <w:i/>
              </w:rPr>
            </w:pPr>
            <w:r w:rsidRPr="006B6155">
              <w:rPr>
                <w:i/>
              </w:rPr>
              <w:t>Comenzará el 29 de junio de 2021 a las 10:00 horas y finalizará el 2 de ju</w:t>
            </w:r>
            <w:r w:rsidRPr="006B6155">
              <w:rPr>
                <w:i/>
                <w:lang w:val="es-ES"/>
              </w:rPr>
              <w:t>lio</w:t>
            </w:r>
            <w:r w:rsidRPr="006B6155">
              <w:rPr>
                <w:i/>
              </w:rPr>
              <w:t xml:space="preserve"> de 2021 a las 20:00 horas (horario de la Ciudad de Buenos Aires).</w:t>
            </w:r>
          </w:p>
        </w:tc>
        <w:tc>
          <w:tcPr>
            <w:tcW w:w="2768" w:type="dxa"/>
          </w:tcPr>
          <w:p w14:paraId="5F9952B9" w14:textId="3CBEFDB4" w:rsidR="002F42D6" w:rsidRPr="006B6155" w:rsidRDefault="002F42D6" w:rsidP="002F42D6">
            <w:pPr>
              <w:pStyle w:val="BHTexto"/>
              <w:widowControl w:val="0"/>
              <w:rPr>
                <w:i/>
                <w:lang w:val="es-ES"/>
              </w:rPr>
            </w:pPr>
            <w:r w:rsidRPr="006B6155">
              <w:rPr>
                <w:i/>
              </w:rPr>
              <w:t xml:space="preserve">Es el plazo en el cual los Tenedores Elegibles podrán </w:t>
            </w:r>
            <w:r w:rsidRPr="006B6155">
              <w:rPr>
                <w:i/>
                <w:lang w:val="es-ES"/>
              </w:rPr>
              <w:t>retirar sus Ofertas.</w:t>
            </w:r>
          </w:p>
        </w:tc>
      </w:tr>
    </w:tbl>
    <w:p w14:paraId="30F28C63" w14:textId="2BB78601" w:rsidR="005B4058" w:rsidRPr="006B6155" w:rsidRDefault="005B4058" w:rsidP="005B4058">
      <w:pPr>
        <w:pStyle w:val="BHTexto"/>
        <w:widowControl w:val="0"/>
        <w:rPr>
          <w:b/>
          <w:u w:val="single"/>
        </w:rPr>
      </w:pPr>
      <w:r w:rsidRPr="006B6155">
        <w:rPr>
          <w:b/>
          <w:u w:val="single"/>
        </w:rPr>
        <w:t xml:space="preserve">2. </w:t>
      </w:r>
      <w:r w:rsidR="00464280" w:rsidRPr="006B6155">
        <w:rPr>
          <w:b/>
          <w:u w:val="single"/>
          <w:lang w:val="es-ES"/>
        </w:rPr>
        <w:t>MODIFICACIONES AL</w:t>
      </w:r>
      <w:r w:rsidR="00464280" w:rsidRPr="009A546A">
        <w:rPr>
          <w:b/>
          <w:u w:val="single"/>
          <w:lang w:val="es-ES"/>
        </w:rPr>
        <w:t xml:space="preserve"> </w:t>
      </w:r>
      <w:r w:rsidRPr="006B6155">
        <w:rPr>
          <w:b/>
          <w:u w:val="single"/>
        </w:rPr>
        <w:t>AVISO DE SUSCRIPCIÓN</w:t>
      </w:r>
      <w:r w:rsidRPr="009A546A">
        <w:rPr>
          <w:b/>
        </w:rPr>
        <w:t xml:space="preserve">: </w:t>
      </w:r>
    </w:p>
    <w:p w14:paraId="64007147" w14:textId="1472A3A3" w:rsidR="005B4058" w:rsidRPr="009A546A" w:rsidRDefault="00464280" w:rsidP="005B4058">
      <w:pPr>
        <w:pStyle w:val="BHTexto"/>
        <w:widowControl w:val="0"/>
        <w:rPr>
          <w:lang w:val="es-ES"/>
        </w:rPr>
      </w:pPr>
      <w:r w:rsidRPr="006B6155">
        <w:t>La Emisora realiza las siguientes modificaciones a</w:t>
      </w:r>
      <w:r w:rsidR="000D03FB">
        <w:rPr>
          <w:lang w:val="es-AR"/>
        </w:rPr>
        <w:t>l texto del siguiente párrafo de</w:t>
      </w:r>
      <w:r w:rsidRPr="006B6155">
        <w:rPr>
          <w:lang w:val="es-ES"/>
        </w:rPr>
        <w:t xml:space="preserve"> </w:t>
      </w:r>
      <w:r w:rsidRPr="009A546A">
        <w:rPr>
          <w:lang w:val="es-ES"/>
        </w:rPr>
        <w:t>la</w:t>
      </w:r>
      <w:r w:rsidR="005B4058" w:rsidRPr="006B6155">
        <w:t xml:space="preserve"> pá</w:t>
      </w:r>
      <w:r w:rsidRPr="006B6155">
        <w:t>gina 1 del Aviso de Suscripción</w:t>
      </w:r>
      <w:r w:rsidRPr="009A546A">
        <w:rPr>
          <w:lang w:val="es-ES"/>
        </w:rPr>
        <w:t>:</w:t>
      </w:r>
    </w:p>
    <w:p w14:paraId="00069D4B" w14:textId="77777777" w:rsidR="005B4058" w:rsidRPr="006B6155" w:rsidRDefault="005B4058" w:rsidP="005B4058">
      <w:pPr>
        <w:pStyle w:val="BHTexto"/>
        <w:ind w:left="708"/>
        <w:rPr>
          <w:b/>
          <w:i/>
          <w:lang w:val="es-AR"/>
        </w:rPr>
      </w:pPr>
      <w:r w:rsidRPr="006B6155">
        <w:rPr>
          <w:b/>
          <w:i/>
          <w:lang w:val="es-AR"/>
        </w:rPr>
        <w:lastRenderedPageBreak/>
        <w:t>“OBLIGACIONES NEGOCIABLES CLASE XXXIII, DENOMINADAS Y PAGADERAS EN DÓLARES ESTADOUNIDENSES, A UNA TASA DE INTERÉS FIJA NOMINAL ANUAL DEL 6,99%, CON VENCIMIENTO A LOS 36 MESES DE LA FECHA DE EMISIÓN Y LIQUIDACIÓN, CON AMORTIZACIONES ANUALES DEL 33%, 33% Y 34%, RESPECTIVAMENTE, POR UN VALOR NOMINAL DE HASTA USD 35.737.138 (DÓLARES ESTADOUNIDENSES TREINTA Y CINCO MILLONES SETECIENTOS TREINTA Y SIETE MIL CIENTO TREINTA Y OCHO) (LAS “OBLIGACIONES NEGOCIABLES CLASE XXXIII” Y/O LAS “OBLIGACIONES NEGOCIABLES”), A SER SUSCRIPTAS MEDIANTE CUALQUERA DE LAS ALTERNATIVAS QUE SE DESCRIBEN A CONTINUACIÓN:”</w:t>
      </w:r>
    </w:p>
    <w:p w14:paraId="18CCFA53" w14:textId="77777777" w:rsidR="005B4058" w:rsidRPr="006B6155" w:rsidRDefault="005B4058" w:rsidP="005B4058">
      <w:pPr>
        <w:pStyle w:val="BHTexto"/>
        <w:widowControl w:val="0"/>
      </w:pPr>
      <w:r w:rsidRPr="006B6155">
        <w:t>Se reemplaza el siguiente párrafo de la segunda página del Aviso de Suscripción de acuerdo al siguiente texto:</w:t>
      </w:r>
    </w:p>
    <w:p w14:paraId="0AABFED9" w14:textId="77777777" w:rsidR="005B4058" w:rsidRPr="006B6155" w:rsidRDefault="005B4058" w:rsidP="005B4058">
      <w:pPr>
        <w:pStyle w:val="BHTexto"/>
        <w:ind w:left="708"/>
        <w:rPr>
          <w:i/>
          <w:lang w:val="es-AR"/>
        </w:rPr>
      </w:pPr>
      <w:r w:rsidRPr="006B6155">
        <w:rPr>
          <w:b/>
          <w:lang w:val="es-AR"/>
        </w:rPr>
        <w:t>“</w:t>
      </w:r>
      <w:r w:rsidRPr="006B6155">
        <w:rPr>
          <w:i/>
          <w:lang w:val="es-AR"/>
        </w:rPr>
        <w:t>El presente aviso de suscripción (el “</w:t>
      </w:r>
      <w:r w:rsidRPr="006B6155">
        <w:rPr>
          <w:i/>
          <w:u w:val="single"/>
          <w:lang w:val="es-AR"/>
        </w:rPr>
        <w:t>Aviso de Suscripción</w:t>
      </w:r>
      <w:r w:rsidRPr="006B6155">
        <w:rPr>
          <w:i/>
          <w:lang w:val="es-AR"/>
        </w:rPr>
        <w:t xml:space="preserve">”) corresponde a las Obligaciones Negociables a ser emitidas por </w:t>
      </w:r>
      <w:proofErr w:type="spellStart"/>
      <w:r w:rsidRPr="006B6155">
        <w:rPr>
          <w:i/>
          <w:lang w:val="es-AR"/>
        </w:rPr>
        <w:t>Cresud</w:t>
      </w:r>
      <w:proofErr w:type="spellEnd"/>
      <w:r w:rsidRPr="006B6155">
        <w:rPr>
          <w:i/>
          <w:lang w:val="es-AR"/>
        </w:rPr>
        <w:t xml:space="preserve"> Sociedad Anónima Comercial, Inmobiliaria, Financiera y Agropecuaria (“</w:t>
      </w:r>
      <w:proofErr w:type="spellStart"/>
      <w:r w:rsidRPr="006B6155">
        <w:rPr>
          <w:i/>
          <w:u w:val="single"/>
          <w:lang w:val="es-AR"/>
        </w:rPr>
        <w:t>Cresud</w:t>
      </w:r>
      <w:proofErr w:type="spellEnd"/>
      <w:r w:rsidRPr="006B6155">
        <w:rPr>
          <w:i/>
          <w:lang w:val="es-AR"/>
        </w:rPr>
        <w:t>” o la “</w:t>
      </w:r>
      <w:r w:rsidRPr="006B6155">
        <w:rPr>
          <w:i/>
          <w:u w:val="single"/>
          <w:lang w:val="es-AR"/>
        </w:rPr>
        <w:t>Compañía</w:t>
      </w:r>
      <w:r w:rsidRPr="006B6155">
        <w:rPr>
          <w:i/>
          <w:lang w:val="es-AR"/>
        </w:rPr>
        <w:t>”) en canje por las Obligaciones Negociables Existentes y de acuerdo los términos y mecanismos para canjear las Obligaciones Negociables Existentes descriptos en el presente y que forman parte del Prospecto del Programa de fecha 23 de octubre de 2020 (el “</w:t>
      </w:r>
      <w:r w:rsidRPr="006B6155">
        <w:rPr>
          <w:i/>
          <w:u w:val="single"/>
          <w:lang w:val="es-AR"/>
        </w:rPr>
        <w:t>Prospecto</w:t>
      </w:r>
      <w:r w:rsidRPr="006B6155">
        <w:rPr>
          <w:i/>
          <w:lang w:val="es-AR"/>
        </w:rPr>
        <w:t>”) y del Suplemento de Prospecto y Canje de fecha 11 de junio de 2021 (el “</w:t>
      </w:r>
      <w:r w:rsidRPr="006B6155">
        <w:rPr>
          <w:i/>
          <w:u w:val="single"/>
          <w:lang w:val="es-AR"/>
        </w:rPr>
        <w:t>Suplemento de Prospecto</w:t>
      </w:r>
      <w:r w:rsidRPr="006B6155">
        <w:rPr>
          <w:i/>
          <w:lang w:val="es-AR"/>
        </w:rPr>
        <w:t>”) (la “</w:t>
      </w:r>
      <w:r w:rsidRPr="006B6155">
        <w:rPr>
          <w:i/>
          <w:u w:val="single"/>
          <w:lang w:val="es-AR"/>
        </w:rPr>
        <w:t>Oferta de Canje</w:t>
      </w:r>
      <w:r w:rsidRPr="006B6155">
        <w:rPr>
          <w:i/>
          <w:lang w:val="es-AR"/>
        </w:rPr>
        <w:t>” o el “</w:t>
      </w:r>
      <w:r w:rsidRPr="006B6155">
        <w:rPr>
          <w:i/>
          <w:u w:val="single"/>
          <w:lang w:val="es-AR"/>
        </w:rPr>
        <w:t>Canje</w:t>
      </w:r>
      <w:r w:rsidRPr="006B6155">
        <w:rPr>
          <w:i/>
          <w:lang w:val="es-AR"/>
        </w:rPr>
        <w:t>”). Las Obligaciones Negociables Clase XXXIII serán emitidas a una tasa de interés fija nominal anual del 6,99%, con vencimiento a los 36 (treinta y seis) meses contados desde la Fecha de Emisión y Liquidación, con amortizaciones anuales del 33%, 33% y 34%, respectivamente, denominadas y pagaderas en Dólares Estadounidenses, por hasta un valor nominal USD 35.737.138 (dólares estadounidenses treinta y cinco millones setecientos treinta y siete mil ciento treinta y ocho), y podrán suscribirse mediante cualquiera de las alternativas que se describen a continuación:”</w:t>
      </w:r>
    </w:p>
    <w:p w14:paraId="035C90EA" w14:textId="48CE06B0" w:rsidR="005B4058" w:rsidRPr="006B6155" w:rsidRDefault="005B4058" w:rsidP="005B4058">
      <w:pPr>
        <w:pStyle w:val="BHTexto"/>
        <w:widowControl w:val="0"/>
      </w:pPr>
      <w:r w:rsidRPr="006B6155">
        <w:t>Se reemplazan los siguientes apartados del Aviso de Suscripción</w:t>
      </w:r>
      <w:r w:rsidR="00A24EC4" w:rsidRPr="009A546A">
        <w:rPr>
          <w:lang w:val="es-ES"/>
        </w:rPr>
        <w:t xml:space="preserve">, </w:t>
      </w:r>
      <w:r w:rsidR="00A24EC4" w:rsidRPr="006B6155">
        <w:rPr>
          <w:lang w:val="es-ES"/>
        </w:rPr>
        <w:t>en los términos descriptos a continuación</w:t>
      </w:r>
      <w:r w:rsidRPr="006B6155">
        <w:t>:</w:t>
      </w:r>
    </w:p>
    <w:p w14:paraId="11300645" w14:textId="3621D83E" w:rsidR="005B4058" w:rsidRPr="009A546A" w:rsidRDefault="00890228" w:rsidP="005B4058">
      <w:pPr>
        <w:tabs>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after="120"/>
        <w:ind w:left="708"/>
        <w:jc w:val="both"/>
        <w:rPr>
          <w:i/>
          <w:sz w:val="20"/>
        </w:rPr>
      </w:pPr>
      <w:r w:rsidRPr="006B6155">
        <w:rPr>
          <w:rFonts w:eastAsia="Calibri"/>
          <w:b/>
          <w:i/>
          <w:sz w:val="20"/>
          <w:lang w:val="es-ES" w:eastAsia="x-none"/>
        </w:rPr>
        <w:t>“</w:t>
      </w:r>
      <w:r w:rsidR="005B4058" w:rsidRPr="006B6155">
        <w:rPr>
          <w:rFonts w:eastAsia="Calibri"/>
          <w:b/>
          <w:i/>
          <w:sz w:val="20"/>
          <w:u w:val="single"/>
          <w:lang w:val="es-ES" w:eastAsia="x-none"/>
        </w:rPr>
        <w:t>Período Para Participar de la Oferta de Canje</w:t>
      </w:r>
      <w:r w:rsidR="005B4058" w:rsidRPr="006B6155">
        <w:rPr>
          <w:rFonts w:eastAsia="Calibri"/>
          <w:i/>
          <w:sz w:val="20"/>
          <w:lang w:val="es-ES" w:eastAsia="x-none"/>
        </w:rPr>
        <w:t xml:space="preserve">: Comenzará el 11 de junio de 2021 a las 12:00 horas y finalizará el </w:t>
      </w:r>
      <w:r w:rsidR="00A24EC4" w:rsidRPr="006B6155">
        <w:rPr>
          <w:rFonts w:eastAsia="Calibri"/>
          <w:i/>
          <w:sz w:val="20"/>
          <w:lang w:val="es-ES" w:eastAsia="x-none"/>
        </w:rPr>
        <w:t xml:space="preserve">28 de junio de 2021 o el </w:t>
      </w:r>
      <w:r w:rsidR="005B4058" w:rsidRPr="006B6155">
        <w:rPr>
          <w:rFonts w:eastAsia="Calibri"/>
          <w:i/>
          <w:sz w:val="20"/>
          <w:lang w:val="es-ES" w:eastAsia="x-none"/>
        </w:rPr>
        <w:t>2 de julio de 2021</w:t>
      </w:r>
      <w:r w:rsidR="00A24EC4" w:rsidRPr="006B6155">
        <w:rPr>
          <w:rFonts w:eastAsia="Calibri"/>
          <w:i/>
          <w:sz w:val="20"/>
          <w:lang w:val="es-ES" w:eastAsia="x-none"/>
        </w:rPr>
        <w:t>, según corresponda,</w:t>
      </w:r>
      <w:r w:rsidR="005B4058" w:rsidRPr="006B6155">
        <w:rPr>
          <w:rFonts w:eastAsia="Calibri"/>
          <w:i/>
          <w:sz w:val="20"/>
          <w:lang w:val="es-ES" w:eastAsia="x-none"/>
        </w:rPr>
        <w:t xml:space="preserve"> a las 20:00 horas (horario de la Ciudad de Buenos Aires)</w:t>
      </w:r>
      <w:r w:rsidR="005B4058" w:rsidRPr="009A546A">
        <w:rPr>
          <w:i/>
          <w:sz w:val="20"/>
        </w:rPr>
        <w:t>.</w:t>
      </w:r>
    </w:p>
    <w:p w14:paraId="7A6D3B41" w14:textId="1C9FF3FB" w:rsidR="005B4058" w:rsidRPr="009A546A" w:rsidRDefault="005B4058" w:rsidP="005B4058">
      <w:pPr>
        <w:tabs>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after="120"/>
        <w:ind w:left="708"/>
        <w:jc w:val="both"/>
        <w:rPr>
          <w:i/>
          <w:sz w:val="20"/>
        </w:rPr>
      </w:pPr>
      <w:r w:rsidRPr="006B6155">
        <w:rPr>
          <w:b/>
          <w:i/>
          <w:sz w:val="20"/>
          <w:u w:val="single"/>
        </w:rPr>
        <w:t>Fecha de Expiración</w:t>
      </w:r>
      <w:r w:rsidRPr="006B6155">
        <w:rPr>
          <w:b/>
          <w:i/>
          <w:sz w:val="20"/>
        </w:rPr>
        <w:t xml:space="preserve">: </w:t>
      </w:r>
      <w:r w:rsidR="00A24EC4" w:rsidRPr="006B6155">
        <w:rPr>
          <w:i/>
          <w:sz w:val="20"/>
        </w:rPr>
        <w:t xml:space="preserve">20:00 </w:t>
      </w:r>
      <w:r w:rsidR="00A24EC4" w:rsidRPr="009A546A">
        <w:rPr>
          <w:i/>
          <w:sz w:val="20"/>
        </w:rPr>
        <w:t>horas</w:t>
      </w:r>
      <w:r w:rsidR="00A24EC4" w:rsidRPr="006B6155">
        <w:rPr>
          <w:i/>
          <w:sz w:val="20"/>
        </w:rPr>
        <w:t xml:space="preserve"> (horario de la Ciudad de Buenos Aires) del 28 de junio de 2021, salvo para aquellos Tenedores Elegibles que hubiesen suscripto las Obligaciones Negociables Clase XXXIII mediante la Opción Par en o antes del 28 de junio de 2021</w:t>
      </w:r>
      <w:r w:rsidR="002F42D6" w:rsidRPr="006B6155">
        <w:rPr>
          <w:sz w:val="20"/>
        </w:rPr>
        <w:t xml:space="preserve"> </w:t>
      </w:r>
      <w:r w:rsidR="002F42D6" w:rsidRPr="006B6155">
        <w:rPr>
          <w:i/>
          <w:sz w:val="20"/>
        </w:rPr>
        <w:t>y deseen retirar sus Ofertas</w:t>
      </w:r>
      <w:r w:rsidR="00A24EC4" w:rsidRPr="006B6155">
        <w:rPr>
          <w:i/>
          <w:sz w:val="20"/>
        </w:rPr>
        <w:t xml:space="preserve">, en cuyo caso será el 2 de julio de 2021; excepto que dicha fecha sea extendida, en cuyo caso se informará mediante un aviso complementario al presente </w:t>
      </w:r>
      <w:r w:rsidR="00890228" w:rsidRPr="006B6155">
        <w:rPr>
          <w:i/>
          <w:sz w:val="20"/>
        </w:rPr>
        <w:t>Aviso de Suscripción</w:t>
      </w:r>
      <w:r w:rsidRPr="006B6155">
        <w:rPr>
          <w:i/>
          <w:sz w:val="20"/>
        </w:rPr>
        <w:t xml:space="preserve">. </w:t>
      </w:r>
    </w:p>
    <w:p w14:paraId="10A86C23" w14:textId="72B3913E" w:rsidR="002F42D6" w:rsidRPr="006B6155" w:rsidRDefault="002F42D6" w:rsidP="002F42D6">
      <w:pPr>
        <w:tabs>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after="120"/>
        <w:ind w:left="708"/>
        <w:jc w:val="both"/>
        <w:rPr>
          <w:i/>
          <w:sz w:val="20"/>
        </w:rPr>
      </w:pPr>
      <w:r w:rsidRPr="006B6155">
        <w:rPr>
          <w:b/>
          <w:i/>
          <w:sz w:val="20"/>
          <w:u w:val="single"/>
        </w:rPr>
        <w:t>Período adicional para retirar Ofertas suscriptas bajo la Opción Par</w:t>
      </w:r>
      <w:r w:rsidRPr="006B6155">
        <w:rPr>
          <w:i/>
          <w:sz w:val="20"/>
        </w:rPr>
        <w:t>: Comenzará el 29 de junio de 2021 a las 10:00 horas y finalizará el 2 de julio de 2021 a las 20:00 horas (horario de la Ciudad de Buenos Aires).</w:t>
      </w:r>
    </w:p>
    <w:p w14:paraId="1C820FAE" w14:textId="3F5FB734" w:rsidR="005B4058" w:rsidRPr="006B6155" w:rsidRDefault="005B4058" w:rsidP="008B5032">
      <w:pPr>
        <w:tabs>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after="120"/>
        <w:ind w:left="708"/>
        <w:jc w:val="both"/>
        <w:rPr>
          <w:i/>
          <w:sz w:val="20"/>
        </w:rPr>
      </w:pPr>
      <w:r w:rsidRPr="006B6155">
        <w:rPr>
          <w:b/>
          <w:i/>
          <w:sz w:val="20"/>
          <w:u w:val="single"/>
        </w:rPr>
        <w:t>Tasa de Interés</w:t>
      </w:r>
      <w:r w:rsidRPr="009A546A">
        <w:rPr>
          <w:b/>
          <w:i/>
          <w:sz w:val="20"/>
        </w:rPr>
        <w:t>:</w:t>
      </w:r>
      <w:r w:rsidRPr="006B6155">
        <w:rPr>
          <w:i/>
          <w:sz w:val="20"/>
          <w:lang w:eastAsia="x-none"/>
        </w:rPr>
        <w:t xml:space="preserve"> </w:t>
      </w:r>
      <w:r w:rsidRPr="006B6155">
        <w:rPr>
          <w:i/>
          <w:sz w:val="20"/>
        </w:rPr>
        <w:t>Las Obligaciones Negociables Clase XXXIII devengarán intereses a una tasa de interés fija nominal anual de 6,99%, a partir de la Fecha de Emisión y Liquidación o desde la última Fecha de Pago de Intereses (tal como se define a continuación), hasta la que se hubieran pagado o debidamente dispuesto el pago de intereses sobre dicha Obligación Negociable a dicha tasa fija anual, hasta el pago o la disposición del pago de su capital. Los intereses se pagarán por plazo vencido en cada fecha de pago de intereses (cada una, una “</w:t>
      </w:r>
      <w:r w:rsidRPr="006B6155">
        <w:rPr>
          <w:i/>
          <w:sz w:val="20"/>
          <w:u w:val="single"/>
        </w:rPr>
        <w:t>Fecha de Pago de Intereses</w:t>
      </w:r>
      <w:r w:rsidRPr="006B6155">
        <w:rPr>
          <w:i/>
          <w:sz w:val="20"/>
        </w:rPr>
        <w:t>”), y en la Fecha de Vencimiento y en caso de rescate o caducidad de plazos, según se especifica en Oferta de Suscripción de las Obligaciones Negociables en Canje de las Obligaciones Negociables Existentes – b) Descripción de la Oferta de Canje - Pago de capital e intereses” del Suplemento de Prospecto.</w:t>
      </w:r>
      <w:r w:rsidR="00890228" w:rsidRPr="006B6155">
        <w:rPr>
          <w:i/>
          <w:sz w:val="20"/>
        </w:rPr>
        <w:t>”</w:t>
      </w:r>
    </w:p>
    <w:p w14:paraId="44A05170" w14:textId="5C40557E" w:rsidR="005B4058" w:rsidRPr="009A546A" w:rsidRDefault="005B4058" w:rsidP="005B4058">
      <w:pPr>
        <w:pStyle w:val="BHTexto"/>
        <w:widowControl w:val="0"/>
        <w:rPr>
          <w:b/>
          <w:lang w:val="es-AR"/>
        </w:rPr>
      </w:pPr>
      <w:r w:rsidRPr="006B6155">
        <w:rPr>
          <w:b/>
        </w:rPr>
        <w:lastRenderedPageBreak/>
        <w:t xml:space="preserve">TODOS LOS TÉRMINOS Y CONDICIONES ESTABLECIDOS EN EL SUPLEMENTO DE PROSPECTO Y EN EL AVISO DE SUSCRIPCIÓN MANTENDRÁN SU PLENA VALIDEZ Y VIGENCIA, EXCEPTO POR LO EXPRESAMENTE MODIFICADO A TRAVÉS DE LA PRESENTE ADENDA Y POR AQUELLA QUE SE CONSIDERA QUE HA SIDO MODIFICADA DE MANERA SIMILAR EN LA MEDIDA EN QUE SE VEA AFECTADA POR LOS CAMBIOS DESCRIPTOS ANTERIORMENTE. </w:t>
      </w:r>
      <w:r w:rsidR="00F33088" w:rsidRPr="006B6155">
        <w:rPr>
          <w:b/>
          <w:lang w:val="es-AR"/>
        </w:rPr>
        <w:t>EN CASO DE DISCREPANCIAS ENTRE CUALQUIER CONTENIDO DE LA PRESENTE Y EL CONTENIDO DEL SUPLEMENTO PROSPECTO</w:t>
      </w:r>
      <w:r w:rsidR="008B5032" w:rsidRPr="006B6155">
        <w:rPr>
          <w:b/>
          <w:lang w:val="es-AR"/>
        </w:rPr>
        <w:t xml:space="preserve"> Y EL AVISO DE SUSCRIPCIÓN</w:t>
      </w:r>
      <w:r w:rsidR="00F33088" w:rsidRPr="006B6155">
        <w:rPr>
          <w:b/>
          <w:lang w:val="es-AR"/>
        </w:rPr>
        <w:t>, PREVALECERÁ EL CONTENIDO DE LA ADENDA</w:t>
      </w:r>
      <w:r w:rsidR="008B5032" w:rsidRPr="006B6155">
        <w:rPr>
          <w:b/>
          <w:lang w:val="es-AR"/>
        </w:rPr>
        <w:t>.</w:t>
      </w:r>
    </w:p>
    <w:p w14:paraId="04D91764" w14:textId="13D8FF69" w:rsidR="008B5032" w:rsidRPr="006B6155" w:rsidRDefault="008B5032" w:rsidP="005B4058">
      <w:pPr>
        <w:pStyle w:val="BHTexto"/>
        <w:widowControl w:val="0"/>
        <w:rPr>
          <w:b/>
        </w:rPr>
      </w:pPr>
      <w:r w:rsidRPr="006B6155">
        <w:rPr>
          <w:b/>
        </w:rPr>
        <w:t>La creación del Programa ha sido aprobada por la Asamblea de Accionistas de fecha 31 de octubre de 2012, y por reunión de Directorio de fecha 22 de marzo de 2013. Cabe mencionar que por la Asamblea de Accionistas de fecha 14 de noviembre de 2014, 31 de octubre de 2016, 31 de octubre de 2017 y 29 de octubre de 2018 se renovaron las facultades delegadas en el Directorio para la emisión de Obligaciones Negociables</w:t>
      </w:r>
      <w:r w:rsidR="00772883" w:rsidRPr="006B6155">
        <w:rPr>
          <w:b/>
          <w:lang w:val="es-ES"/>
        </w:rPr>
        <w:t xml:space="preserve"> Clase XXXIII</w:t>
      </w:r>
      <w:r w:rsidRPr="006B6155">
        <w:rPr>
          <w:b/>
        </w:rPr>
        <w:t xml:space="preserve"> en el marco del Programa. A su vez, en la Asamblea de Accionistas celebrada el 30 de octubre de 2015 se aprobó la ampliación del monto del Programa por un monto adicional de hasta USD200.000.000. Posteriormente, en la Asamblea de Accionistas celebrada el 31 de octubre de 2017 se aprobó la prórroga de la vigencia del Programa y se ratificó la aprobación de la ampliación del monto del Programa por un monto adicional de hasta USD200.000.000 aprobada por la Asamblea de Accionistas celebrada el 30 de octubre de 2015. La actualización, prórroga y ampliación del monto del Programa ha sido aprobada por Acta de Directorio de fecha 12 de diciembre de 2017. Posteriormente, la actualización del Programa ha sido aprobada por Acta de Directorio de fecha 15 de octubre de 2020. La emisión de las Obligaciones Negociables Clase XXXIII fue aprobada por el Directorio de la Compañía en su reunión de fecha 10 de junio de 2021.</w:t>
      </w:r>
    </w:p>
    <w:p w14:paraId="5958F30E" w14:textId="461F06FE" w:rsidR="006E5C62" w:rsidRDefault="005B4058" w:rsidP="005B4058">
      <w:pPr>
        <w:spacing w:before="120" w:after="120" w:line="8" w:lineRule="atLeast"/>
        <w:ind w:right="-1"/>
        <w:jc w:val="both"/>
        <w:rPr>
          <w:b/>
          <w:sz w:val="20"/>
        </w:rPr>
      </w:pPr>
      <w:r w:rsidRPr="006B6155">
        <w:rPr>
          <w:b/>
          <w:sz w:val="20"/>
        </w:rPr>
        <w:t>Por cualquier consulta, dirigirse a los Colocadores (una vez levantadas las medidas de aislamiento obligatorio, dentro de la jurisdicción correspondiente): (i) BACS Banco de Crédito y Securitización S.A., Tucumán 1, piso 19 “A”, Ciudad Autónoma de Buenos Aires, República Argentina; (ii) Banco Hipotecario S.A., Reconquista 151, Ciudad Autónoma de Buenos Aires, República Argentina, (iii) Banco de Galicia y Buenos Aires S.A.U., Tte. Gral. Juan Domingo Perón 430, Ciudad Autónoma de Buenos Aires, República Argentina; (iv) Banco Santander Río S.A., Av. Juan de Garay 151, Ciudad Autónoma de Buenos Aires, República Argentina; (v) Banco de la Provincia de Buenos Aires, San Martín 108, piso 15, Ciudad Autónoma de Buenos Aires, República Argentina; (vi) Balanz Capital Valores S.A.U., Av. Corrientes 316, piso 3, oficina 362, Ciudad Autónoma de Buenos Aires, República Argentina; (vii) Puente Hnos. S.A., Av. Del Libertador 498, piso 4º, Ciudad Autónoma de Buenos Aires, República Argentina; (viii) Banco Itaú Argentina S.A., Victoria Ocampo 360, Torre Sur, Piso 8º, Ciudad Autónoma de Buenos Aires, Argentina (en todo momento a:</w:t>
      </w:r>
      <w:r w:rsidR="00A24EC4" w:rsidRPr="006B6155">
        <w:rPr>
          <w:b/>
          <w:sz w:val="20"/>
        </w:rPr>
        <w:t xml:space="preserve"> </w:t>
      </w:r>
      <w:hyperlink r:id="rId14" w:tgtFrame="_blank" w:history="1">
        <w:r w:rsidRPr="006B6155">
          <w:rPr>
            <w:b/>
            <w:sz w:val="20"/>
          </w:rPr>
          <w:t>Horacio.Roque@itaubba.com</w:t>
        </w:r>
      </w:hyperlink>
      <w:r w:rsidRPr="006B6155">
        <w:rPr>
          <w:b/>
          <w:sz w:val="20"/>
        </w:rPr>
        <w:t>, teléfono 5273-3512 /</w:t>
      </w:r>
      <w:r w:rsidR="00A24EC4" w:rsidRPr="006B6155">
        <w:rPr>
          <w:b/>
          <w:sz w:val="20"/>
        </w:rPr>
        <w:t xml:space="preserve"> </w:t>
      </w:r>
      <w:hyperlink r:id="rId15" w:tgtFrame="_blank" w:history="1">
        <w:r w:rsidRPr="006B6155">
          <w:rPr>
            <w:b/>
            <w:sz w:val="20"/>
          </w:rPr>
          <w:t>marcos.delavega@itaubba.com</w:t>
        </w:r>
      </w:hyperlink>
      <w:r w:rsidRPr="006B6155">
        <w:rPr>
          <w:b/>
          <w:sz w:val="20"/>
        </w:rPr>
        <w:t xml:space="preserve"> / </w:t>
      </w:r>
      <w:hyperlink r:id="rId16" w:tgtFrame="_blank" w:history="1">
        <w:r w:rsidRPr="006B6155">
          <w:rPr>
            <w:b/>
            <w:sz w:val="20"/>
          </w:rPr>
          <w:t>mariano.palermo@itaubba.com</w:t>
        </w:r>
      </w:hyperlink>
      <w:r w:rsidRPr="006B6155">
        <w:rPr>
          <w:b/>
          <w:sz w:val="20"/>
        </w:rPr>
        <w:t>, teléfono 5273-3553); (ix) Itaú Valores S.A., Victoria Ocampo 360, Torre Sur, Piso 8° Ciudad Autónoma de Buenos Aires, Argentina (en todo momento</w:t>
      </w:r>
      <w:r w:rsidR="00A24EC4" w:rsidRPr="006B6155">
        <w:rPr>
          <w:b/>
          <w:sz w:val="20"/>
        </w:rPr>
        <w:t xml:space="preserve"> </w:t>
      </w:r>
      <w:r w:rsidRPr="006B6155">
        <w:rPr>
          <w:b/>
          <w:sz w:val="20"/>
        </w:rPr>
        <w:t>a:</w:t>
      </w:r>
      <w:r w:rsidR="00A24EC4" w:rsidRPr="006B6155">
        <w:rPr>
          <w:b/>
          <w:sz w:val="20"/>
        </w:rPr>
        <w:t xml:space="preserve"> </w:t>
      </w:r>
      <w:hyperlink r:id="rId17" w:tgtFrame="_blank" w:history="1">
        <w:r w:rsidRPr="006B6155">
          <w:rPr>
            <w:b/>
            <w:sz w:val="20"/>
          </w:rPr>
          <w:t>angel.tremonti@itau.com.ar</w:t>
        </w:r>
      </w:hyperlink>
      <w:r w:rsidRPr="006B6155">
        <w:rPr>
          <w:b/>
          <w:sz w:val="20"/>
        </w:rPr>
        <w:t>, teléfono 3985 8764/</w:t>
      </w:r>
      <w:r w:rsidR="00A24EC4" w:rsidRPr="006B6155">
        <w:rPr>
          <w:b/>
          <w:sz w:val="20"/>
        </w:rPr>
        <w:t xml:space="preserve"> </w:t>
      </w:r>
      <w:hyperlink r:id="rId18" w:tgtFrame="_blank" w:history="1">
        <w:r w:rsidRPr="006B6155">
          <w:rPr>
            <w:b/>
            <w:sz w:val="20"/>
          </w:rPr>
          <w:t>natalia.sposaro@itau.com.ar</w:t>
        </w:r>
      </w:hyperlink>
      <w:r w:rsidRPr="006B6155">
        <w:rPr>
          <w:b/>
          <w:sz w:val="20"/>
        </w:rPr>
        <w:t>, teléfono 3985 8761); (x) Industrial and Commercial Bank of China (Argentina) S.A.U., Cecilia Grierson 355, piso 12, Ciudad Autónoma de Buenos Aires, Argentina; (xi) AR Partners S.A., Arenales 707, piso 6, Ciudad Autónoma de Buenos Aires, Argentina; (xii) Bull Market Brokers S.A., Bouchard 680 piso 8, Ciudad Autónoma de Buenos Aires, Argentina; (xiii) SBS Trading S.A., Av. Eduardo Madero 900, Piso 19, Ciudad Autónoma de Buenos Aires, Argentina; y (xiv) Industrial Valores S.A., Sarmiento 530, Piso 2º, Ciudad Autónoma de Buenos Aires, Argentina.</w:t>
      </w:r>
    </w:p>
    <w:p w14:paraId="447143BE" w14:textId="77777777" w:rsidR="006E5C62" w:rsidRPr="006B6155" w:rsidRDefault="006E5C62" w:rsidP="005B4058">
      <w:pPr>
        <w:spacing w:before="120" w:after="120" w:line="8" w:lineRule="atLeast"/>
        <w:ind w:right="-1"/>
        <w:jc w:val="both"/>
        <w:rPr>
          <w:b/>
          <w:sz w:val="20"/>
        </w:rPr>
      </w:pPr>
      <w:bookmarkStart w:id="2" w:name="_GoBack"/>
      <w:bookmarkEnd w:id="2"/>
    </w:p>
    <w:tbl>
      <w:tblPr>
        <w:tblW w:w="5273" w:type="pct"/>
        <w:tblLook w:val="0000" w:firstRow="0" w:lastRow="0" w:firstColumn="0" w:lastColumn="0" w:noHBand="0" w:noVBand="0"/>
      </w:tblPr>
      <w:tblGrid>
        <w:gridCol w:w="1809"/>
        <w:gridCol w:w="1607"/>
        <w:gridCol w:w="1650"/>
        <w:gridCol w:w="2042"/>
        <w:gridCol w:w="1421"/>
        <w:gridCol w:w="466"/>
      </w:tblGrid>
      <w:tr w:rsidR="005B4058" w:rsidRPr="006B6155" w14:paraId="6183E75B" w14:textId="77777777" w:rsidTr="009A546A">
        <w:trPr>
          <w:gridAfter w:val="1"/>
          <w:wAfter w:w="259" w:type="pct"/>
        </w:trPr>
        <w:tc>
          <w:tcPr>
            <w:tcW w:w="4741" w:type="pct"/>
            <w:gridSpan w:val="5"/>
          </w:tcPr>
          <w:p w14:paraId="3BEF2C51" w14:textId="77777777" w:rsidR="005B4058" w:rsidRPr="006B6155" w:rsidRDefault="005B4058" w:rsidP="009E195A">
            <w:pPr>
              <w:pStyle w:val="BHTexto"/>
              <w:keepLines/>
              <w:spacing w:after="60"/>
              <w:jc w:val="center"/>
              <w:rPr>
                <w:b/>
                <w:bCs/>
              </w:rPr>
            </w:pPr>
            <w:r w:rsidRPr="006B6155">
              <w:rPr>
                <w:b/>
                <w:bCs/>
              </w:rPr>
              <w:t>Colocadores</w:t>
            </w:r>
          </w:p>
        </w:tc>
      </w:tr>
      <w:tr w:rsidR="005B4058" w:rsidRPr="006B6155" w14:paraId="2F799B66" w14:textId="77777777" w:rsidTr="009A546A">
        <w:trPr>
          <w:gridAfter w:val="1"/>
          <w:wAfter w:w="259" w:type="pct"/>
        </w:trPr>
        <w:tc>
          <w:tcPr>
            <w:tcW w:w="4741" w:type="pct"/>
            <w:gridSpan w:val="5"/>
          </w:tcPr>
          <w:p w14:paraId="1C4F7649" w14:textId="77777777" w:rsidR="005B4058" w:rsidRPr="009A546A" w:rsidRDefault="005B4058" w:rsidP="009E195A">
            <w:pPr>
              <w:pStyle w:val="BHTexto"/>
              <w:keepLines/>
              <w:spacing w:after="60"/>
              <w:rPr>
                <w:b/>
              </w:rPr>
            </w:pPr>
          </w:p>
        </w:tc>
      </w:tr>
      <w:tr w:rsidR="005B4058" w:rsidRPr="006B6155" w14:paraId="4C39DD28" w14:textId="77777777" w:rsidTr="009A546A">
        <w:tblPrEx>
          <w:tblLook w:val="04A0" w:firstRow="1" w:lastRow="0" w:firstColumn="1" w:lastColumn="0" w:noHBand="0" w:noVBand="1"/>
        </w:tblPrEx>
        <w:trPr>
          <w:trHeight w:val="1742"/>
        </w:trPr>
        <w:tc>
          <w:tcPr>
            <w:tcW w:w="1006" w:type="pct"/>
            <w:shd w:val="clear" w:color="auto" w:fill="auto"/>
          </w:tcPr>
          <w:p w14:paraId="674B5977" w14:textId="77777777" w:rsidR="005B4058" w:rsidRPr="009A546A" w:rsidRDefault="005B4058" w:rsidP="009E195A">
            <w:pPr>
              <w:autoSpaceDE w:val="0"/>
              <w:autoSpaceDN w:val="0"/>
              <w:adjustRightInd w:val="0"/>
              <w:jc w:val="center"/>
              <w:rPr>
                <w:b/>
                <w:sz w:val="20"/>
              </w:rPr>
            </w:pPr>
            <w:r w:rsidRPr="009A546A">
              <w:rPr>
                <w:b/>
                <w:sz w:val="20"/>
              </w:rPr>
              <w:lastRenderedPageBreak/>
              <w:t>BACS Banco de Crédito y Securitización S.A.</w:t>
            </w:r>
          </w:p>
          <w:p w14:paraId="50B41A06" w14:textId="77777777" w:rsidR="005B4058" w:rsidRPr="009A546A" w:rsidRDefault="005B4058" w:rsidP="009E195A">
            <w:pPr>
              <w:autoSpaceDE w:val="0"/>
              <w:autoSpaceDN w:val="0"/>
              <w:adjustRightInd w:val="0"/>
              <w:jc w:val="center"/>
              <w:rPr>
                <w:b/>
                <w:sz w:val="20"/>
              </w:rPr>
            </w:pPr>
          </w:p>
          <w:p w14:paraId="28573252" w14:textId="77777777" w:rsidR="005B4058" w:rsidRPr="009A546A" w:rsidRDefault="005B4058" w:rsidP="009E195A">
            <w:pPr>
              <w:autoSpaceDE w:val="0"/>
              <w:autoSpaceDN w:val="0"/>
              <w:adjustRightInd w:val="0"/>
              <w:jc w:val="center"/>
              <w:rPr>
                <w:sz w:val="20"/>
              </w:rPr>
            </w:pPr>
            <w:r w:rsidRPr="009A546A">
              <w:rPr>
                <w:sz w:val="20"/>
              </w:rPr>
              <w:t xml:space="preserve">Tucumán 1 piso 19 “A”, </w:t>
            </w:r>
          </w:p>
          <w:p w14:paraId="34323AF9" w14:textId="77777777" w:rsidR="005B4058" w:rsidRPr="009A546A" w:rsidRDefault="005B4058" w:rsidP="009E195A">
            <w:pPr>
              <w:autoSpaceDE w:val="0"/>
              <w:autoSpaceDN w:val="0"/>
              <w:adjustRightInd w:val="0"/>
              <w:jc w:val="center"/>
              <w:rPr>
                <w:sz w:val="20"/>
              </w:rPr>
            </w:pPr>
            <w:r w:rsidRPr="009A546A">
              <w:rPr>
                <w:sz w:val="20"/>
              </w:rPr>
              <w:t>Ciudad Autónoma de Buenos Aires,</w:t>
            </w:r>
          </w:p>
          <w:p w14:paraId="060D2B5E" w14:textId="77777777" w:rsidR="005B4058" w:rsidRPr="009A546A" w:rsidRDefault="005B4058" w:rsidP="009E195A">
            <w:pPr>
              <w:autoSpaceDE w:val="0"/>
              <w:autoSpaceDN w:val="0"/>
              <w:adjustRightInd w:val="0"/>
              <w:jc w:val="center"/>
              <w:rPr>
                <w:sz w:val="20"/>
              </w:rPr>
            </w:pPr>
            <w:r w:rsidRPr="009A546A">
              <w:rPr>
                <w:sz w:val="20"/>
              </w:rPr>
              <w:t>Argentina</w:t>
            </w:r>
          </w:p>
          <w:p w14:paraId="42455E82" w14:textId="77777777" w:rsidR="005B4058" w:rsidRPr="006B6155" w:rsidRDefault="005B4058" w:rsidP="009E195A">
            <w:pPr>
              <w:autoSpaceDE w:val="0"/>
              <w:autoSpaceDN w:val="0"/>
              <w:adjustRightInd w:val="0"/>
              <w:jc w:val="center"/>
              <w:rPr>
                <w:bCs/>
                <w:iCs/>
                <w:sz w:val="20"/>
              </w:rPr>
            </w:pPr>
          </w:p>
        </w:tc>
        <w:tc>
          <w:tcPr>
            <w:tcW w:w="893" w:type="pct"/>
            <w:shd w:val="clear" w:color="auto" w:fill="auto"/>
          </w:tcPr>
          <w:p w14:paraId="7A478541" w14:textId="77777777" w:rsidR="005B4058" w:rsidRPr="009A546A" w:rsidRDefault="005B4058" w:rsidP="009E195A">
            <w:pPr>
              <w:autoSpaceDE w:val="0"/>
              <w:autoSpaceDN w:val="0"/>
              <w:adjustRightInd w:val="0"/>
              <w:jc w:val="center"/>
              <w:rPr>
                <w:b/>
                <w:sz w:val="20"/>
              </w:rPr>
            </w:pPr>
            <w:r w:rsidRPr="009A546A">
              <w:rPr>
                <w:b/>
                <w:sz w:val="20"/>
              </w:rPr>
              <w:t>Banco Hipotecario S.A.</w:t>
            </w:r>
          </w:p>
          <w:p w14:paraId="24CFFB43" w14:textId="77777777" w:rsidR="005B4058" w:rsidRPr="009A546A" w:rsidRDefault="005B4058" w:rsidP="009E195A">
            <w:pPr>
              <w:autoSpaceDE w:val="0"/>
              <w:autoSpaceDN w:val="0"/>
              <w:adjustRightInd w:val="0"/>
              <w:jc w:val="center"/>
              <w:rPr>
                <w:b/>
                <w:sz w:val="20"/>
              </w:rPr>
            </w:pPr>
          </w:p>
          <w:p w14:paraId="59E6FB80" w14:textId="77777777" w:rsidR="005B4058" w:rsidRPr="009A546A" w:rsidRDefault="005B4058" w:rsidP="009E195A">
            <w:pPr>
              <w:autoSpaceDE w:val="0"/>
              <w:autoSpaceDN w:val="0"/>
              <w:adjustRightInd w:val="0"/>
              <w:jc w:val="center"/>
              <w:rPr>
                <w:sz w:val="20"/>
              </w:rPr>
            </w:pPr>
          </w:p>
          <w:p w14:paraId="0D4B4641" w14:textId="77777777" w:rsidR="005B4058" w:rsidRPr="009A546A" w:rsidRDefault="005B4058" w:rsidP="009E195A">
            <w:pPr>
              <w:autoSpaceDE w:val="0"/>
              <w:autoSpaceDN w:val="0"/>
              <w:adjustRightInd w:val="0"/>
              <w:jc w:val="center"/>
              <w:rPr>
                <w:sz w:val="20"/>
              </w:rPr>
            </w:pPr>
            <w:r w:rsidRPr="009A546A">
              <w:rPr>
                <w:sz w:val="20"/>
              </w:rPr>
              <w:t xml:space="preserve">Reconquista 151, </w:t>
            </w:r>
          </w:p>
          <w:p w14:paraId="1BD2DC8B" w14:textId="77777777" w:rsidR="005B4058" w:rsidRPr="009A546A" w:rsidRDefault="005B4058" w:rsidP="009E195A">
            <w:pPr>
              <w:autoSpaceDE w:val="0"/>
              <w:autoSpaceDN w:val="0"/>
              <w:adjustRightInd w:val="0"/>
              <w:jc w:val="center"/>
              <w:rPr>
                <w:sz w:val="20"/>
              </w:rPr>
            </w:pPr>
            <w:r w:rsidRPr="009A546A">
              <w:rPr>
                <w:sz w:val="20"/>
              </w:rPr>
              <w:t xml:space="preserve">Ciudad Autónoma de Buenos Aires, </w:t>
            </w:r>
          </w:p>
          <w:p w14:paraId="03638B6E" w14:textId="77777777" w:rsidR="005B4058" w:rsidRPr="006B6155" w:rsidRDefault="005B4058" w:rsidP="009E195A">
            <w:pPr>
              <w:autoSpaceDE w:val="0"/>
              <w:autoSpaceDN w:val="0"/>
              <w:adjustRightInd w:val="0"/>
              <w:jc w:val="center"/>
              <w:rPr>
                <w:bCs/>
                <w:iCs/>
                <w:sz w:val="20"/>
              </w:rPr>
            </w:pPr>
            <w:r w:rsidRPr="009A546A">
              <w:rPr>
                <w:sz w:val="20"/>
              </w:rPr>
              <w:t>Argentina</w:t>
            </w:r>
            <w:r w:rsidRPr="009A546A" w:rsidDel="006B08DB">
              <w:rPr>
                <w:sz w:val="20"/>
              </w:rPr>
              <w:t xml:space="preserve"> </w:t>
            </w:r>
          </w:p>
        </w:tc>
        <w:tc>
          <w:tcPr>
            <w:tcW w:w="917" w:type="pct"/>
            <w:shd w:val="clear" w:color="auto" w:fill="auto"/>
          </w:tcPr>
          <w:p w14:paraId="1CE8A0A7" w14:textId="77777777" w:rsidR="005B4058" w:rsidRPr="009A546A" w:rsidRDefault="005B4058" w:rsidP="009E195A">
            <w:pPr>
              <w:autoSpaceDE w:val="0"/>
              <w:autoSpaceDN w:val="0"/>
              <w:adjustRightInd w:val="0"/>
              <w:jc w:val="center"/>
              <w:rPr>
                <w:b/>
                <w:sz w:val="20"/>
              </w:rPr>
            </w:pPr>
            <w:r w:rsidRPr="009A546A">
              <w:rPr>
                <w:b/>
                <w:sz w:val="20"/>
              </w:rPr>
              <w:t xml:space="preserve">Banco de Galicia y Buenos Aires S.A.U. </w:t>
            </w:r>
          </w:p>
          <w:p w14:paraId="2367E828" w14:textId="77777777" w:rsidR="005B4058" w:rsidRPr="009A546A" w:rsidRDefault="005B4058" w:rsidP="009E195A">
            <w:pPr>
              <w:autoSpaceDE w:val="0"/>
              <w:autoSpaceDN w:val="0"/>
              <w:adjustRightInd w:val="0"/>
              <w:jc w:val="center"/>
              <w:rPr>
                <w:b/>
                <w:sz w:val="20"/>
              </w:rPr>
            </w:pPr>
          </w:p>
          <w:p w14:paraId="479A70A1" w14:textId="77777777" w:rsidR="006E5C62" w:rsidRDefault="006E5C62" w:rsidP="009E195A">
            <w:pPr>
              <w:autoSpaceDE w:val="0"/>
              <w:autoSpaceDN w:val="0"/>
              <w:adjustRightInd w:val="0"/>
              <w:jc w:val="center"/>
              <w:rPr>
                <w:sz w:val="20"/>
              </w:rPr>
            </w:pPr>
          </w:p>
          <w:p w14:paraId="644216ED" w14:textId="77777777" w:rsidR="005B4058" w:rsidRPr="009A546A" w:rsidRDefault="005B4058" w:rsidP="009E195A">
            <w:pPr>
              <w:autoSpaceDE w:val="0"/>
              <w:autoSpaceDN w:val="0"/>
              <w:adjustRightInd w:val="0"/>
              <w:jc w:val="center"/>
              <w:rPr>
                <w:sz w:val="20"/>
              </w:rPr>
            </w:pPr>
            <w:r w:rsidRPr="009A546A">
              <w:rPr>
                <w:sz w:val="20"/>
              </w:rPr>
              <w:t>Tte. Gral. Juan Domingo Perón 407,</w:t>
            </w:r>
          </w:p>
          <w:p w14:paraId="56767E7A" w14:textId="77777777" w:rsidR="005B4058" w:rsidRPr="006B6155" w:rsidRDefault="005B4058" w:rsidP="009E195A">
            <w:pPr>
              <w:autoSpaceDE w:val="0"/>
              <w:autoSpaceDN w:val="0"/>
              <w:adjustRightInd w:val="0"/>
              <w:jc w:val="center"/>
              <w:rPr>
                <w:b/>
                <w:bCs/>
                <w:iCs/>
                <w:sz w:val="20"/>
              </w:rPr>
            </w:pPr>
            <w:r w:rsidRPr="009A546A">
              <w:rPr>
                <w:sz w:val="20"/>
              </w:rPr>
              <w:t>Ciudad Autónoma de Buenos Aires, Argentina</w:t>
            </w:r>
          </w:p>
        </w:tc>
        <w:tc>
          <w:tcPr>
            <w:tcW w:w="1135" w:type="pct"/>
            <w:shd w:val="clear" w:color="auto" w:fill="auto"/>
          </w:tcPr>
          <w:p w14:paraId="1ADEFC3E" w14:textId="77777777" w:rsidR="005B4058" w:rsidRPr="009A546A" w:rsidRDefault="005B4058" w:rsidP="009E195A">
            <w:pPr>
              <w:autoSpaceDE w:val="0"/>
              <w:autoSpaceDN w:val="0"/>
              <w:adjustRightInd w:val="0"/>
              <w:jc w:val="center"/>
              <w:rPr>
                <w:b/>
                <w:sz w:val="20"/>
              </w:rPr>
            </w:pPr>
            <w:r w:rsidRPr="009A546A">
              <w:rPr>
                <w:b/>
                <w:sz w:val="20"/>
              </w:rPr>
              <w:t>Banco Santander Río S.A.</w:t>
            </w:r>
          </w:p>
          <w:p w14:paraId="777F9BE7" w14:textId="77777777" w:rsidR="005B4058" w:rsidRPr="009A546A" w:rsidRDefault="005B4058" w:rsidP="009E195A">
            <w:pPr>
              <w:autoSpaceDE w:val="0"/>
              <w:autoSpaceDN w:val="0"/>
              <w:adjustRightInd w:val="0"/>
              <w:jc w:val="center"/>
              <w:rPr>
                <w:b/>
                <w:sz w:val="20"/>
              </w:rPr>
            </w:pPr>
          </w:p>
          <w:p w14:paraId="758CF4C3" w14:textId="77777777" w:rsidR="005B4058" w:rsidRPr="009A546A" w:rsidRDefault="005B4058" w:rsidP="009E195A">
            <w:pPr>
              <w:autoSpaceDE w:val="0"/>
              <w:autoSpaceDN w:val="0"/>
              <w:adjustRightInd w:val="0"/>
              <w:jc w:val="center"/>
              <w:rPr>
                <w:sz w:val="20"/>
              </w:rPr>
            </w:pPr>
          </w:p>
          <w:p w14:paraId="0ADF99C6" w14:textId="77777777" w:rsidR="006E5C62" w:rsidRDefault="006E5C62" w:rsidP="009E195A">
            <w:pPr>
              <w:autoSpaceDE w:val="0"/>
              <w:autoSpaceDN w:val="0"/>
              <w:adjustRightInd w:val="0"/>
              <w:jc w:val="center"/>
              <w:rPr>
                <w:sz w:val="20"/>
              </w:rPr>
            </w:pPr>
          </w:p>
          <w:p w14:paraId="3B96C2D1" w14:textId="77777777" w:rsidR="005B4058" w:rsidRPr="009A546A" w:rsidRDefault="005B4058" w:rsidP="009E195A">
            <w:pPr>
              <w:autoSpaceDE w:val="0"/>
              <w:autoSpaceDN w:val="0"/>
              <w:adjustRightInd w:val="0"/>
              <w:jc w:val="center"/>
              <w:rPr>
                <w:sz w:val="20"/>
              </w:rPr>
            </w:pPr>
            <w:r w:rsidRPr="009A546A">
              <w:rPr>
                <w:sz w:val="20"/>
              </w:rPr>
              <w:t xml:space="preserve">Av. Juan de Garay 151, Ciudad Autónoma de Buenos Aires, </w:t>
            </w:r>
          </w:p>
          <w:p w14:paraId="21BCAE02" w14:textId="77777777" w:rsidR="005B4058" w:rsidRPr="006B6155" w:rsidRDefault="005B4058" w:rsidP="009E195A">
            <w:pPr>
              <w:autoSpaceDE w:val="0"/>
              <w:autoSpaceDN w:val="0"/>
              <w:adjustRightInd w:val="0"/>
              <w:jc w:val="center"/>
              <w:rPr>
                <w:b/>
                <w:bCs/>
                <w:iCs/>
                <w:sz w:val="20"/>
              </w:rPr>
            </w:pPr>
            <w:r w:rsidRPr="009A546A">
              <w:rPr>
                <w:sz w:val="20"/>
              </w:rPr>
              <w:t>Argentina</w:t>
            </w:r>
          </w:p>
        </w:tc>
        <w:tc>
          <w:tcPr>
            <w:tcW w:w="1049" w:type="pct"/>
            <w:gridSpan w:val="2"/>
            <w:shd w:val="clear" w:color="auto" w:fill="auto"/>
          </w:tcPr>
          <w:p w14:paraId="5E6C53A6" w14:textId="77777777" w:rsidR="005B4058" w:rsidRPr="009A546A" w:rsidRDefault="005B4058" w:rsidP="009E195A">
            <w:pPr>
              <w:autoSpaceDE w:val="0"/>
              <w:autoSpaceDN w:val="0"/>
              <w:adjustRightInd w:val="0"/>
              <w:jc w:val="center"/>
              <w:rPr>
                <w:b/>
                <w:sz w:val="20"/>
              </w:rPr>
            </w:pPr>
            <w:r w:rsidRPr="009A546A">
              <w:rPr>
                <w:b/>
                <w:sz w:val="20"/>
              </w:rPr>
              <w:t xml:space="preserve">Banco de la Provincia de Buenos Aires </w:t>
            </w:r>
          </w:p>
          <w:p w14:paraId="7CD1E7BC" w14:textId="77777777" w:rsidR="005B4058" w:rsidRPr="009A546A" w:rsidRDefault="005B4058" w:rsidP="009E195A">
            <w:pPr>
              <w:autoSpaceDE w:val="0"/>
              <w:autoSpaceDN w:val="0"/>
              <w:adjustRightInd w:val="0"/>
              <w:jc w:val="center"/>
              <w:rPr>
                <w:b/>
                <w:sz w:val="20"/>
              </w:rPr>
            </w:pPr>
          </w:p>
          <w:p w14:paraId="1BB40EBC" w14:textId="77777777" w:rsidR="005B4058" w:rsidRPr="009A546A" w:rsidRDefault="005B4058" w:rsidP="009E195A">
            <w:pPr>
              <w:autoSpaceDE w:val="0"/>
              <w:autoSpaceDN w:val="0"/>
              <w:adjustRightInd w:val="0"/>
              <w:jc w:val="center"/>
              <w:rPr>
                <w:sz w:val="20"/>
              </w:rPr>
            </w:pPr>
          </w:p>
          <w:p w14:paraId="65A60A73" w14:textId="77777777" w:rsidR="005B4058" w:rsidRPr="009A546A" w:rsidRDefault="005B4058" w:rsidP="009E195A">
            <w:pPr>
              <w:autoSpaceDE w:val="0"/>
              <w:autoSpaceDN w:val="0"/>
              <w:adjustRightInd w:val="0"/>
              <w:jc w:val="center"/>
              <w:rPr>
                <w:sz w:val="20"/>
              </w:rPr>
            </w:pPr>
            <w:r w:rsidRPr="009A546A">
              <w:rPr>
                <w:sz w:val="20"/>
              </w:rPr>
              <w:t xml:space="preserve">San Martin 108, Ciudad Autónoma de Buenos Aires, </w:t>
            </w:r>
          </w:p>
          <w:p w14:paraId="2DEBDAE9" w14:textId="77777777" w:rsidR="005B4058" w:rsidRPr="006B6155" w:rsidRDefault="005B4058" w:rsidP="009E195A">
            <w:pPr>
              <w:autoSpaceDE w:val="0"/>
              <w:autoSpaceDN w:val="0"/>
              <w:adjustRightInd w:val="0"/>
              <w:jc w:val="center"/>
              <w:rPr>
                <w:bCs/>
                <w:iCs/>
                <w:sz w:val="20"/>
              </w:rPr>
            </w:pPr>
            <w:r w:rsidRPr="009A546A">
              <w:rPr>
                <w:sz w:val="20"/>
              </w:rPr>
              <w:t>Argentina</w:t>
            </w:r>
          </w:p>
        </w:tc>
      </w:tr>
      <w:tr w:rsidR="005B4058" w:rsidRPr="006B6155" w14:paraId="721668C1" w14:textId="77777777" w:rsidTr="009A546A">
        <w:tblPrEx>
          <w:tblLook w:val="04A0" w:firstRow="1" w:lastRow="0" w:firstColumn="1" w:lastColumn="0" w:noHBand="0" w:noVBand="1"/>
        </w:tblPrEx>
        <w:trPr>
          <w:trHeight w:val="2016"/>
        </w:trPr>
        <w:tc>
          <w:tcPr>
            <w:tcW w:w="1006" w:type="pct"/>
          </w:tcPr>
          <w:p w14:paraId="62E6306E" w14:textId="77777777" w:rsidR="005B4058" w:rsidRPr="009A546A" w:rsidRDefault="005B4058" w:rsidP="009E195A">
            <w:pPr>
              <w:autoSpaceDE w:val="0"/>
              <w:autoSpaceDN w:val="0"/>
              <w:adjustRightInd w:val="0"/>
              <w:jc w:val="center"/>
              <w:rPr>
                <w:b/>
                <w:sz w:val="20"/>
              </w:rPr>
            </w:pPr>
            <w:r w:rsidRPr="009A546A">
              <w:rPr>
                <w:b/>
                <w:sz w:val="20"/>
              </w:rPr>
              <w:t>Balanz Capital Valores S.A.U.</w:t>
            </w:r>
          </w:p>
          <w:p w14:paraId="33DCD131" w14:textId="77777777" w:rsidR="005B4058" w:rsidRPr="009A546A" w:rsidRDefault="005B4058" w:rsidP="009E195A">
            <w:pPr>
              <w:autoSpaceDE w:val="0"/>
              <w:autoSpaceDN w:val="0"/>
              <w:adjustRightInd w:val="0"/>
              <w:jc w:val="center"/>
              <w:rPr>
                <w:b/>
                <w:sz w:val="20"/>
              </w:rPr>
            </w:pPr>
          </w:p>
          <w:p w14:paraId="3952077D" w14:textId="77777777" w:rsidR="005B4058" w:rsidRPr="009A546A" w:rsidRDefault="005B4058" w:rsidP="009E195A">
            <w:pPr>
              <w:autoSpaceDE w:val="0"/>
              <w:autoSpaceDN w:val="0"/>
              <w:adjustRightInd w:val="0"/>
              <w:jc w:val="center"/>
              <w:rPr>
                <w:sz w:val="20"/>
              </w:rPr>
            </w:pPr>
          </w:p>
          <w:p w14:paraId="1AF61337" w14:textId="77777777" w:rsidR="005B4058" w:rsidRPr="009A546A" w:rsidRDefault="005B4058" w:rsidP="009E195A">
            <w:pPr>
              <w:autoSpaceDE w:val="0"/>
              <w:autoSpaceDN w:val="0"/>
              <w:adjustRightInd w:val="0"/>
              <w:jc w:val="center"/>
              <w:rPr>
                <w:sz w:val="20"/>
              </w:rPr>
            </w:pPr>
          </w:p>
          <w:p w14:paraId="6D4BDF6C" w14:textId="77777777" w:rsidR="005B4058" w:rsidRPr="009A546A" w:rsidRDefault="005B4058" w:rsidP="009E195A">
            <w:pPr>
              <w:autoSpaceDE w:val="0"/>
              <w:autoSpaceDN w:val="0"/>
              <w:adjustRightInd w:val="0"/>
              <w:jc w:val="center"/>
              <w:rPr>
                <w:sz w:val="20"/>
              </w:rPr>
            </w:pPr>
            <w:r w:rsidRPr="009A546A">
              <w:rPr>
                <w:sz w:val="20"/>
              </w:rPr>
              <w:t xml:space="preserve">Av. Corrientes 316, piso 3, </w:t>
            </w:r>
          </w:p>
          <w:p w14:paraId="12C72627" w14:textId="77777777" w:rsidR="005B4058" w:rsidRPr="009A546A" w:rsidRDefault="005B4058" w:rsidP="009E195A">
            <w:pPr>
              <w:autoSpaceDE w:val="0"/>
              <w:autoSpaceDN w:val="0"/>
              <w:adjustRightInd w:val="0"/>
              <w:jc w:val="center"/>
              <w:rPr>
                <w:sz w:val="20"/>
              </w:rPr>
            </w:pPr>
            <w:r w:rsidRPr="009A546A">
              <w:rPr>
                <w:sz w:val="20"/>
              </w:rPr>
              <w:t>oficina 362, Ciudad Autónoma de Buenos Aires,</w:t>
            </w:r>
          </w:p>
          <w:p w14:paraId="7D0F59A4" w14:textId="77777777" w:rsidR="005B4058" w:rsidRPr="006B6155" w:rsidRDefault="005B4058" w:rsidP="009E195A">
            <w:pPr>
              <w:autoSpaceDE w:val="0"/>
              <w:autoSpaceDN w:val="0"/>
              <w:adjustRightInd w:val="0"/>
              <w:jc w:val="center"/>
              <w:rPr>
                <w:bCs/>
                <w:iCs/>
                <w:sz w:val="20"/>
              </w:rPr>
            </w:pPr>
            <w:r w:rsidRPr="009A546A">
              <w:rPr>
                <w:sz w:val="20"/>
              </w:rPr>
              <w:t xml:space="preserve"> Argentina</w:t>
            </w:r>
          </w:p>
        </w:tc>
        <w:tc>
          <w:tcPr>
            <w:tcW w:w="893" w:type="pct"/>
          </w:tcPr>
          <w:p w14:paraId="50EEE09D" w14:textId="77777777" w:rsidR="005B4058" w:rsidRPr="009A546A" w:rsidRDefault="005B4058" w:rsidP="009E195A">
            <w:pPr>
              <w:autoSpaceDE w:val="0"/>
              <w:autoSpaceDN w:val="0"/>
              <w:adjustRightInd w:val="0"/>
              <w:jc w:val="center"/>
              <w:rPr>
                <w:b/>
                <w:sz w:val="20"/>
              </w:rPr>
            </w:pPr>
            <w:r w:rsidRPr="009A546A">
              <w:rPr>
                <w:b/>
                <w:sz w:val="20"/>
              </w:rPr>
              <w:t>Puente Hnos. S.A.</w:t>
            </w:r>
          </w:p>
          <w:p w14:paraId="772BC092" w14:textId="77777777" w:rsidR="005B4058" w:rsidRPr="009A546A" w:rsidRDefault="005B4058" w:rsidP="009E195A">
            <w:pPr>
              <w:autoSpaceDE w:val="0"/>
              <w:autoSpaceDN w:val="0"/>
              <w:adjustRightInd w:val="0"/>
              <w:jc w:val="center"/>
              <w:rPr>
                <w:b/>
                <w:sz w:val="20"/>
              </w:rPr>
            </w:pPr>
          </w:p>
          <w:p w14:paraId="6487A390" w14:textId="77777777" w:rsidR="005B4058" w:rsidRPr="009A546A" w:rsidRDefault="005B4058" w:rsidP="009E195A">
            <w:pPr>
              <w:autoSpaceDE w:val="0"/>
              <w:autoSpaceDN w:val="0"/>
              <w:adjustRightInd w:val="0"/>
              <w:jc w:val="center"/>
              <w:rPr>
                <w:sz w:val="20"/>
              </w:rPr>
            </w:pPr>
          </w:p>
          <w:p w14:paraId="429AB556" w14:textId="77777777" w:rsidR="005B4058" w:rsidRPr="009A546A" w:rsidRDefault="005B4058" w:rsidP="009E195A">
            <w:pPr>
              <w:autoSpaceDE w:val="0"/>
              <w:autoSpaceDN w:val="0"/>
              <w:adjustRightInd w:val="0"/>
              <w:jc w:val="center"/>
              <w:rPr>
                <w:sz w:val="20"/>
              </w:rPr>
            </w:pPr>
          </w:p>
          <w:p w14:paraId="53B05BE1" w14:textId="77777777" w:rsidR="005B4058" w:rsidRPr="009A546A" w:rsidRDefault="005B4058" w:rsidP="006E5C62">
            <w:pPr>
              <w:autoSpaceDE w:val="0"/>
              <w:autoSpaceDN w:val="0"/>
              <w:adjustRightInd w:val="0"/>
              <w:jc w:val="center"/>
              <w:rPr>
                <w:sz w:val="20"/>
              </w:rPr>
            </w:pPr>
            <w:r w:rsidRPr="009A546A">
              <w:rPr>
                <w:sz w:val="20"/>
              </w:rPr>
              <w:t xml:space="preserve">Av. Del Libertador 498, piso 4º, </w:t>
            </w:r>
            <w:r w:rsidRPr="006E5C62">
              <w:rPr>
                <w:sz w:val="20"/>
                <w:lang w:val="es-ES"/>
              </w:rPr>
              <w:t>Ciudad</w:t>
            </w:r>
            <w:r w:rsidRPr="009A546A">
              <w:rPr>
                <w:sz w:val="20"/>
              </w:rPr>
              <w:t xml:space="preserve"> Autónoma de Buenos Aires,</w:t>
            </w:r>
          </w:p>
          <w:p w14:paraId="2FC19929" w14:textId="77777777" w:rsidR="005B4058" w:rsidRPr="009A546A" w:rsidRDefault="005B4058" w:rsidP="009E195A">
            <w:pPr>
              <w:autoSpaceDE w:val="0"/>
              <w:autoSpaceDN w:val="0"/>
              <w:adjustRightInd w:val="0"/>
              <w:jc w:val="center"/>
              <w:rPr>
                <w:sz w:val="20"/>
              </w:rPr>
            </w:pPr>
            <w:r w:rsidRPr="009A546A">
              <w:rPr>
                <w:sz w:val="20"/>
              </w:rPr>
              <w:t xml:space="preserve"> Argentina</w:t>
            </w:r>
            <w:r w:rsidRPr="009A546A" w:rsidDel="00974415">
              <w:rPr>
                <w:sz w:val="20"/>
              </w:rPr>
              <w:t xml:space="preserve"> </w:t>
            </w:r>
          </w:p>
          <w:p w14:paraId="311D8C3E" w14:textId="77777777" w:rsidR="005B4058" w:rsidRPr="006B6155" w:rsidRDefault="005B4058" w:rsidP="009E195A">
            <w:pPr>
              <w:autoSpaceDE w:val="0"/>
              <w:autoSpaceDN w:val="0"/>
              <w:adjustRightInd w:val="0"/>
              <w:jc w:val="center"/>
              <w:rPr>
                <w:sz w:val="20"/>
              </w:rPr>
            </w:pPr>
          </w:p>
        </w:tc>
        <w:tc>
          <w:tcPr>
            <w:tcW w:w="917" w:type="pct"/>
          </w:tcPr>
          <w:p w14:paraId="5599F1E6" w14:textId="77777777" w:rsidR="005B4058" w:rsidRPr="009A546A" w:rsidRDefault="005B4058" w:rsidP="009E195A">
            <w:pPr>
              <w:autoSpaceDE w:val="0"/>
              <w:autoSpaceDN w:val="0"/>
              <w:adjustRightInd w:val="0"/>
              <w:jc w:val="center"/>
              <w:rPr>
                <w:b/>
                <w:sz w:val="20"/>
                <w:lang w:val="es-ES_tradnl"/>
              </w:rPr>
            </w:pPr>
            <w:r w:rsidRPr="009A546A">
              <w:rPr>
                <w:b/>
                <w:sz w:val="20"/>
                <w:lang w:val="es-ES_tradnl"/>
              </w:rPr>
              <w:t>Banco Itaú Argentina</w:t>
            </w:r>
            <w:r w:rsidRPr="009A546A" w:rsidDel="00974415">
              <w:rPr>
                <w:b/>
                <w:sz w:val="20"/>
                <w:lang w:val="es-ES_tradnl"/>
              </w:rPr>
              <w:t xml:space="preserve"> </w:t>
            </w:r>
            <w:r w:rsidRPr="009A546A">
              <w:rPr>
                <w:b/>
                <w:sz w:val="20"/>
                <w:lang w:val="es-ES_tradnl"/>
              </w:rPr>
              <w:t>S.A.</w:t>
            </w:r>
          </w:p>
          <w:p w14:paraId="0DE1FA6C" w14:textId="77777777" w:rsidR="005B4058" w:rsidRPr="009A546A" w:rsidRDefault="005B4058" w:rsidP="009E195A">
            <w:pPr>
              <w:autoSpaceDE w:val="0"/>
              <w:autoSpaceDN w:val="0"/>
              <w:adjustRightInd w:val="0"/>
              <w:rPr>
                <w:sz w:val="20"/>
              </w:rPr>
            </w:pPr>
          </w:p>
          <w:p w14:paraId="3150A9FF" w14:textId="77777777" w:rsidR="005B4058" w:rsidRPr="009A546A" w:rsidRDefault="005B4058" w:rsidP="009E195A">
            <w:pPr>
              <w:autoSpaceDE w:val="0"/>
              <w:autoSpaceDN w:val="0"/>
              <w:adjustRightInd w:val="0"/>
              <w:jc w:val="center"/>
              <w:rPr>
                <w:sz w:val="20"/>
                <w:lang w:val="es-ES"/>
              </w:rPr>
            </w:pPr>
          </w:p>
          <w:p w14:paraId="7E966E47" w14:textId="77777777" w:rsidR="005B4058" w:rsidRPr="009A546A" w:rsidRDefault="005B4058" w:rsidP="009E195A">
            <w:pPr>
              <w:autoSpaceDE w:val="0"/>
              <w:autoSpaceDN w:val="0"/>
              <w:adjustRightInd w:val="0"/>
              <w:jc w:val="center"/>
              <w:rPr>
                <w:sz w:val="20"/>
                <w:lang w:val="es-ES"/>
              </w:rPr>
            </w:pPr>
          </w:p>
          <w:p w14:paraId="6C11A768" w14:textId="77777777" w:rsidR="005B4058" w:rsidRPr="009A546A" w:rsidRDefault="005B4058" w:rsidP="009E195A">
            <w:pPr>
              <w:autoSpaceDE w:val="0"/>
              <w:autoSpaceDN w:val="0"/>
              <w:adjustRightInd w:val="0"/>
              <w:jc w:val="center"/>
              <w:rPr>
                <w:sz w:val="20"/>
                <w:lang w:val="es-ES"/>
              </w:rPr>
            </w:pPr>
            <w:r w:rsidRPr="009A546A">
              <w:rPr>
                <w:sz w:val="20"/>
                <w:lang w:val="es-ES"/>
              </w:rPr>
              <w:t xml:space="preserve">Agente de Liquidación y Compensación y Agente de Negociación Integral Matrícula CNV N°70 </w:t>
            </w:r>
          </w:p>
          <w:p w14:paraId="7C50264E" w14:textId="77777777" w:rsidR="005B4058" w:rsidRPr="009A546A" w:rsidRDefault="005B4058" w:rsidP="009E195A">
            <w:pPr>
              <w:autoSpaceDE w:val="0"/>
              <w:autoSpaceDN w:val="0"/>
              <w:adjustRightInd w:val="0"/>
              <w:jc w:val="center"/>
              <w:rPr>
                <w:sz w:val="20"/>
              </w:rPr>
            </w:pPr>
            <w:r w:rsidRPr="009A546A">
              <w:rPr>
                <w:sz w:val="20"/>
              </w:rPr>
              <w:t>Victoria Ocampo 360, Torre Sur, Piso 8,Ciudad Autónoma de Buenos Aires, Argentina</w:t>
            </w:r>
          </w:p>
          <w:p w14:paraId="29DA8356" w14:textId="77777777" w:rsidR="005B4058" w:rsidRPr="006B6155" w:rsidDel="00382300" w:rsidRDefault="005B4058" w:rsidP="009E195A">
            <w:pPr>
              <w:autoSpaceDE w:val="0"/>
              <w:autoSpaceDN w:val="0"/>
              <w:adjustRightInd w:val="0"/>
              <w:jc w:val="center"/>
              <w:rPr>
                <w:sz w:val="20"/>
              </w:rPr>
            </w:pPr>
          </w:p>
        </w:tc>
        <w:tc>
          <w:tcPr>
            <w:tcW w:w="1135" w:type="pct"/>
          </w:tcPr>
          <w:p w14:paraId="3EED3D9A" w14:textId="77777777" w:rsidR="005B4058" w:rsidRPr="009A546A" w:rsidRDefault="005B4058" w:rsidP="009E195A">
            <w:pPr>
              <w:autoSpaceDE w:val="0"/>
              <w:autoSpaceDN w:val="0"/>
              <w:adjustRightInd w:val="0"/>
              <w:jc w:val="center"/>
              <w:rPr>
                <w:b/>
                <w:sz w:val="20"/>
                <w:lang w:val="en-US"/>
              </w:rPr>
            </w:pPr>
            <w:r w:rsidRPr="009A546A">
              <w:rPr>
                <w:b/>
                <w:sz w:val="20"/>
                <w:lang w:val="en-US"/>
              </w:rPr>
              <w:t>Industrial and Commercial Bank of China (Argentina) S.A.U.</w:t>
            </w:r>
          </w:p>
          <w:p w14:paraId="2E61221A" w14:textId="77777777" w:rsidR="005B4058" w:rsidRPr="009A546A" w:rsidRDefault="005B4058" w:rsidP="009E195A">
            <w:pPr>
              <w:autoSpaceDE w:val="0"/>
              <w:autoSpaceDN w:val="0"/>
              <w:adjustRightInd w:val="0"/>
              <w:jc w:val="center"/>
              <w:rPr>
                <w:sz w:val="20"/>
                <w:lang w:val="en-US"/>
              </w:rPr>
            </w:pPr>
          </w:p>
          <w:p w14:paraId="5F65FB29" w14:textId="77777777" w:rsidR="005B4058" w:rsidRPr="009A546A" w:rsidRDefault="005B4058" w:rsidP="009E195A">
            <w:pPr>
              <w:autoSpaceDE w:val="0"/>
              <w:autoSpaceDN w:val="0"/>
              <w:adjustRightInd w:val="0"/>
              <w:jc w:val="center"/>
              <w:rPr>
                <w:sz w:val="20"/>
              </w:rPr>
            </w:pPr>
            <w:r w:rsidRPr="009A546A">
              <w:rPr>
                <w:sz w:val="20"/>
              </w:rPr>
              <w:t>Cecilia Grierson 355 piso 12 Ciudad Autónoma de Buenos Aires, Argentina</w:t>
            </w:r>
          </w:p>
          <w:p w14:paraId="66614B2E" w14:textId="77777777" w:rsidR="005B4058" w:rsidRPr="006B6155" w:rsidRDefault="005B4058" w:rsidP="009E195A">
            <w:pPr>
              <w:autoSpaceDE w:val="0"/>
              <w:autoSpaceDN w:val="0"/>
              <w:adjustRightInd w:val="0"/>
              <w:jc w:val="center"/>
              <w:rPr>
                <w:sz w:val="20"/>
              </w:rPr>
            </w:pPr>
          </w:p>
        </w:tc>
        <w:tc>
          <w:tcPr>
            <w:tcW w:w="1049" w:type="pct"/>
            <w:gridSpan w:val="2"/>
          </w:tcPr>
          <w:p w14:paraId="3D8E0425" w14:textId="77777777" w:rsidR="005B4058" w:rsidRPr="009A546A" w:rsidRDefault="005B4058" w:rsidP="009E195A">
            <w:pPr>
              <w:autoSpaceDE w:val="0"/>
              <w:autoSpaceDN w:val="0"/>
              <w:adjustRightInd w:val="0"/>
              <w:jc w:val="center"/>
              <w:rPr>
                <w:b/>
                <w:sz w:val="20"/>
              </w:rPr>
            </w:pPr>
            <w:r w:rsidRPr="009A546A">
              <w:rPr>
                <w:b/>
                <w:sz w:val="20"/>
              </w:rPr>
              <w:t>AR Partners S.A.</w:t>
            </w:r>
          </w:p>
          <w:p w14:paraId="0C41D084" w14:textId="77777777" w:rsidR="005B4058" w:rsidRPr="009A546A" w:rsidRDefault="005B4058" w:rsidP="009E195A">
            <w:pPr>
              <w:autoSpaceDE w:val="0"/>
              <w:autoSpaceDN w:val="0"/>
              <w:adjustRightInd w:val="0"/>
              <w:jc w:val="center"/>
              <w:rPr>
                <w:sz w:val="20"/>
              </w:rPr>
            </w:pPr>
          </w:p>
          <w:p w14:paraId="53E91FF5" w14:textId="77777777" w:rsidR="005B4058" w:rsidRPr="009A546A" w:rsidRDefault="005B4058" w:rsidP="009E195A">
            <w:pPr>
              <w:autoSpaceDE w:val="0"/>
              <w:autoSpaceDN w:val="0"/>
              <w:adjustRightInd w:val="0"/>
              <w:jc w:val="center"/>
              <w:rPr>
                <w:sz w:val="20"/>
              </w:rPr>
            </w:pPr>
          </w:p>
          <w:p w14:paraId="317BE933" w14:textId="77777777" w:rsidR="005B4058" w:rsidRPr="009A546A" w:rsidRDefault="005B4058" w:rsidP="009E195A">
            <w:pPr>
              <w:autoSpaceDE w:val="0"/>
              <w:autoSpaceDN w:val="0"/>
              <w:adjustRightInd w:val="0"/>
              <w:jc w:val="center"/>
              <w:rPr>
                <w:sz w:val="20"/>
              </w:rPr>
            </w:pPr>
          </w:p>
          <w:p w14:paraId="79AE1248" w14:textId="77777777" w:rsidR="005B4058" w:rsidRPr="009A546A" w:rsidRDefault="005B4058" w:rsidP="009E195A">
            <w:pPr>
              <w:autoSpaceDE w:val="0"/>
              <w:autoSpaceDN w:val="0"/>
              <w:adjustRightInd w:val="0"/>
              <w:jc w:val="center"/>
              <w:rPr>
                <w:sz w:val="20"/>
              </w:rPr>
            </w:pPr>
          </w:p>
          <w:p w14:paraId="26003C4F" w14:textId="77777777" w:rsidR="005B4058" w:rsidRPr="006B6155" w:rsidRDefault="005B4058" w:rsidP="009E195A">
            <w:pPr>
              <w:autoSpaceDE w:val="0"/>
              <w:autoSpaceDN w:val="0"/>
              <w:adjustRightInd w:val="0"/>
              <w:jc w:val="center"/>
              <w:rPr>
                <w:sz w:val="20"/>
              </w:rPr>
            </w:pPr>
            <w:r w:rsidRPr="009A546A">
              <w:rPr>
                <w:sz w:val="20"/>
              </w:rPr>
              <w:t>Arenales 707, piso 6, Ciudad Autónoma de Buenos Aires, Argentina</w:t>
            </w:r>
          </w:p>
        </w:tc>
      </w:tr>
      <w:tr w:rsidR="005B4058" w:rsidRPr="006B6155" w14:paraId="7050B84E" w14:textId="77777777" w:rsidTr="009A546A">
        <w:tblPrEx>
          <w:tblLook w:val="04A0" w:firstRow="1" w:lastRow="0" w:firstColumn="1" w:lastColumn="0" w:noHBand="0" w:noVBand="1"/>
        </w:tblPrEx>
        <w:trPr>
          <w:trHeight w:val="2016"/>
        </w:trPr>
        <w:tc>
          <w:tcPr>
            <w:tcW w:w="1006" w:type="pct"/>
          </w:tcPr>
          <w:p w14:paraId="60BDADF2" w14:textId="77777777" w:rsidR="005B4058" w:rsidRPr="006B6155" w:rsidRDefault="005B4058" w:rsidP="009E195A">
            <w:pPr>
              <w:autoSpaceDE w:val="0"/>
              <w:autoSpaceDN w:val="0"/>
              <w:adjustRightInd w:val="0"/>
              <w:jc w:val="center"/>
              <w:rPr>
                <w:b/>
                <w:bCs/>
                <w:iCs/>
                <w:sz w:val="20"/>
              </w:rPr>
            </w:pPr>
          </w:p>
        </w:tc>
        <w:tc>
          <w:tcPr>
            <w:tcW w:w="893" w:type="pct"/>
          </w:tcPr>
          <w:p w14:paraId="67C7043D" w14:textId="77777777" w:rsidR="005B4058" w:rsidRPr="009A546A" w:rsidRDefault="005B4058" w:rsidP="009E195A">
            <w:pPr>
              <w:autoSpaceDE w:val="0"/>
              <w:autoSpaceDN w:val="0"/>
              <w:adjustRightInd w:val="0"/>
              <w:jc w:val="center"/>
              <w:rPr>
                <w:b/>
                <w:sz w:val="20"/>
                <w:lang w:val="es-ES_tradnl"/>
              </w:rPr>
            </w:pPr>
            <w:r w:rsidRPr="009A546A">
              <w:rPr>
                <w:b/>
                <w:sz w:val="20"/>
                <w:lang w:val="es-ES_tradnl"/>
              </w:rPr>
              <w:t>Itaú Valores S.A.</w:t>
            </w:r>
          </w:p>
          <w:p w14:paraId="58FA8481" w14:textId="77777777" w:rsidR="005B4058" w:rsidRPr="009A546A" w:rsidRDefault="005B4058" w:rsidP="009E195A">
            <w:pPr>
              <w:autoSpaceDE w:val="0"/>
              <w:autoSpaceDN w:val="0"/>
              <w:adjustRightInd w:val="0"/>
              <w:jc w:val="center"/>
              <w:rPr>
                <w:b/>
                <w:sz w:val="20"/>
                <w:lang w:val="es-ES_tradnl"/>
              </w:rPr>
            </w:pPr>
          </w:p>
          <w:p w14:paraId="0C9239DF" w14:textId="77777777" w:rsidR="005B4058" w:rsidRPr="009A546A" w:rsidRDefault="005B4058" w:rsidP="006E5C62">
            <w:pPr>
              <w:autoSpaceDE w:val="0"/>
              <w:autoSpaceDN w:val="0"/>
              <w:adjustRightInd w:val="0"/>
              <w:jc w:val="center"/>
              <w:rPr>
                <w:sz w:val="20"/>
                <w:lang w:val="es-ES"/>
              </w:rPr>
            </w:pPr>
            <w:r w:rsidRPr="009A546A">
              <w:rPr>
                <w:sz w:val="20"/>
                <w:lang w:val="es-ES"/>
              </w:rPr>
              <w:t xml:space="preserve">Agente de Liquidación y </w:t>
            </w:r>
            <w:r w:rsidRPr="006E5C62">
              <w:rPr>
                <w:sz w:val="20"/>
              </w:rPr>
              <w:t>Compensación</w:t>
            </w:r>
            <w:r w:rsidRPr="009A546A">
              <w:rPr>
                <w:sz w:val="20"/>
                <w:lang w:val="es-ES"/>
              </w:rPr>
              <w:t xml:space="preserve"> y Agente de Negociación Integral Matrícula CNV N° 350</w:t>
            </w:r>
          </w:p>
          <w:p w14:paraId="60C2D7AF" w14:textId="77777777" w:rsidR="005B4058" w:rsidRPr="009A546A" w:rsidRDefault="005B4058" w:rsidP="009E195A">
            <w:pPr>
              <w:autoSpaceDE w:val="0"/>
              <w:autoSpaceDN w:val="0"/>
              <w:adjustRightInd w:val="0"/>
              <w:jc w:val="center"/>
              <w:rPr>
                <w:sz w:val="20"/>
              </w:rPr>
            </w:pPr>
            <w:r w:rsidRPr="009A546A">
              <w:rPr>
                <w:sz w:val="20"/>
              </w:rPr>
              <w:t>Victoria Ocampo 360, Torre Sur, Piso 8, Ciudad Autónoma de Buenos Aires, Argentina</w:t>
            </w:r>
          </w:p>
        </w:tc>
        <w:tc>
          <w:tcPr>
            <w:tcW w:w="917" w:type="pct"/>
          </w:tcPr>
          <w:p w14:paraId="2DD92CD7" w14:textId="77777777" w:rsidR="005B4058" w:rsidRPr="009A546A" w:rsidRDefault="005B4058" w:rsidP="009E195A">
            <w:pPr>
              <w:autoSpaceDE w:val="0"/>
              <w:autoSpaceDN w:val="0"/>
              <w:adjustRightInd w:val="0"/>
              <w:jc w:val="center"/>
              <w:rPr>
                <w:b/>
                <w:sz w:val="20"/>
                <w:lang w:val="en-US"/>
              </w:rPr>
            </w:pPr>
            <w:r w:rsidRPr="009A546A">
              <w:rPr>
                <w:b/>
                <w:sz w:val="20"/>
                <w:lang w:val="en-US"/>
              </w:rPr>
              <w:t xml:space="preserve">Bull Market Brokers S.A. </w:t>
            </w:r>
          </w:p>
          <w:p w14:paraId="7F9A0CE4" w14:textId="77777777" w:rsidR="005B4058" w:rsidRPr="009A546A" w:rsidRDefault="005B4058" w:rsidP="009E195A">
            <w:pPr>
              <w:autoSpaceDE w:val="0"/>
              <w:autoSpaceDN w:val="0"/>
              <w:adjustRightInd w:val="0"/>
              <w:jc w:val="center"/>
              <w:rPr>
                <w:b/>
                <w:sz w:val="20"/>
                <w:lang w:val="en-US"/>
              </w:rPr>
            </w:pPr>
          </w:p>
          <w:p w14:paraId="53ED9065" w14:textId="77777777" w:rsidR="005B4058" w:rsidRPr="009A546A" w:rsidRDefault="005B4058" w:rsidP="009E195A">
            <w:pPr>
              <w:autoSpaceDE w:val="0"/>
              <w:autoSpaceDN w:val="0"/>
              <w:adjustRightInd w:val="0"/>
              <w:jc w:val="center"/>
              <w:rPr>
                <w:sz w:val="20"/>
              </w:rPr>
            </w:pPr>
            <w:r w:rsidRPr="009A546A">
              <w:rPr>
                <w:sz w:val="20"/>
              </w:rPr>
              <w:t>Bouchard 680 piso 8, Ciudad Autónoma de Buenos Aires, Argentina</w:t>
            </w:r>
          </w:p>
          <w:p w14:paraId="5BC95F69" w14:textId="77777777" w:rsidR="005B4058" w:rsidRPr="006B6155" w:rsidRDefault="005B4058" w:rsidP="009E195A">
            <w:pPr>
              <w:jc w:val="center"/>
              <w:rPr>
                <w:b/>
                <w:sz w:val="20"/>
                <w:lang w:val="es-ES_tradnl"/>
              </w:rPr>
            </w:pPr>
          </w:p>
        </w:tc>
        <w:tc>
          <w:tcPr>
            <w:tcW w:w="1135" w:type="pct"/>
          </w:tcPr>
          <w:p w14:paraId="575E2E7D" w14:textId="77777777" w:rsidR="005B4058" w:rsidRPr="009A546A" w:rsidRDefault="005B4058" w:rsidP="009E195A">
            <w:pPr>
              <w:autoSpaceDE w:val="0"/>
              <w:autoSpaceDN w:val="0"/>
              <w:adjustRightInd w:val="0"/>
              <w:jc w:val="center"/>
              <w:rPr>
                <w:b/>
                <w:sz w:val="20"/>
              </w:rPr>
            </w:pPr>
            <w:r w:rsidRPr="009A546A">
              <w:rPr>
                <w:b/>
                <w:sz w:val="20"/>
              </w:rPr>
              <w:t xml:space="preserve">SBS Trading S.A. </w:t>
            </w:r>
          </w:p>
          <w:p w14:paraId="532A481A" w14:textId="77777777" w:rsidR="005B4058" w:rsidRPr="009A546A" w:rsidRDefault="005B4058" w:rsidP="009E195A">
            <w:pPr>
              <w:autoSpaceDE w:val="0"/>
              <w:autoSpaceDN w:val="0"/>
              <w:adjustRightInd w:val="0"/>
              <w:jc w:val="center"/>
              <w:rPr>
                <w:sz w:val="20"/>
              </w:rPr>
            </w:pPr>
          </w:p>
          <w:p w14:paraId="181CED5B" w14:textId="77777777" w:rsidR="005B4058" w:rsidRPr="009A546A" w:rsidRDefault="005B4058" w:rsidP="009E195A">
            <w:pPr>
              <w:autoSpaceDE w:val="0"/>
              <w:autoSpaceDN w:val="0"/>
              <w:adjustRightInd w:val="0"/>
              <w:jc w:val="center"/>
              <w:rPr>
                <w:sz w:val="20"/>
              </w:rPr>
            </w:pPr>
          </w:p>
          <w:p w14:paraId="28CA82B8" w14:textId="77777777" w:rsidR="005B4058" w:rsidRPr="009A546A" w:rsidRDefault="005B4058" w:rsidP="009E195A">
            <w:pPr>
              <w:autoSpaceDE w:val="0"/>
              <w:autoSpaceDN w:val="0"/>
              <w:adjustRightInd w:val="0"/>
              <w:jc w:val="center"/>
              <w:rPr>
                <w:sz w:val="20"/>
              </w:rPr>
            </w:pPr>
            <w:r w:rsidRPr="009A546A">
              <w:rPr>
                <w:sz w:val="20"/>
              </w:rPr>
              <w:t xml:space="preserve">Av. Eduardo Madero 900, Piso 19, Ciudad Autónoma de Buenos Aires, </w:t>
            </w:r>
          </w:p>
          <w:p w14:paraId="7C058B55" w14:textId="77777777" w:rsidR="005B4058" w:rsidRPr="006B6155" w:rsidRDefault="005B4058" w:rsidP="009E195A">
            <w:pPr>
              <w:autoSpaceDE w:val="0"/>
              <w:autoSpaceDN w:val="0"/>
              <w:adjustRightInd w:val="0"/>
              <w:jc w:val="center"/>
              <w:rPr>
                <w:b/>
                <w:sz w:val="20"/>
                <w:lang w:val="es-ES_tradnl"/>
              </w:rPr>
            </w:pPr>
            <w:r w:rsidRPr="009A546A">
              <w:rPr>
                <w:sz w:val="20"/>
              </w:rPr>
              <w:t>Argentina</w:t>
            </w:r>
          </w:p>
        </w:tc>
        <w:tc>
          <w:tcPr>
            <w:tcW w:w="1049" w:type="pct"/>
            <w:gridSpan w:val="2"/>
          </w:tcPr>
          <w:tbl>
            <w:tblPr>
              <w:tblW w:w="5000" w:type="pct"/>
              <w:jc w:val="center"/>
              <w:tblLook w:val="04A0" w:firstRow="1" w:lastRow="0" w:firstColumn="1" w:lastColumn="0" w:noHBand="0" w:noVBand="1"/>
            </w:tblPr>
            <w:tblGrid>
              <w:gridCol w:w="1671"/>
            </w:tblGrid>
            <w:tr w:rsidR="005B4058" w:rsidRPr="006B6155" w14:paraId="6F7FA542" w14:textId="77777777" w:rsidTr="009E195A">
              <w:trPr>
                <w:jc w:val="center"/>
              </w:trPr>
              <w:tc>
                <w:tcPr>
                  <w:tcW w:w="1252" w:type="pct"/>
                  <w:vAlign w:val="center"/>
                </w:tcPr>
                <w:p w14:paraId="7BBF2872" w14:textId="77777777" w:rsidR="005B4058" w:rsidRPr="009A546A" w:rsidRDefault="005B4058" w:rsidP="009E195A">
                  <w:pPr>
                    <w:autoSpaceDE w:val="0"/>
                    <w:autoSpaceDN w:val="0"/>
                    <w:adjustRightInd w:val="0"/>
                    <w:jc w:val="center"/>
                    <w:rPr>
                      <w:b/>
                      <w:sz w:val="20"/>
                    </w:rPr>
                  </w:pPr>
                  <w:r w:rsidRPr="009A546A">
                    <w:rPr>
                      <w:b/>
                      <w:sz w:val="20"/>
                    </w:rPr>
                    <w:t>Industrial Valores S.A.</w:t>
                  </w:r>
                </w:p>
              </w:tc>
            </w:tr>
            <w:tr w:rsidR="005B4058" w:rsidRPr="006B6155" w14:paraId="46B9FE21" w14:textId="77777777" w:rsidTr="009E195A">
              <w:trPr>
                <w:trHeight w:val="1453"/>
                <w:jc w:val="center"/>
              </w:trPr>
              <w:tc>
                <w:tcPr>
                  <w:tcW w:w="1252" w:type="pct"/>
                  <w:vAlign w:val="center"/>
                </w:tcPr>
                <w:p w14:paraId="19AABDD6" w14:textId="77777777" w:rsidR="006E5C62" w:rsidRDefault="006E5C62" w:rsidP="009E195A">
                  <w:pPr>
                    <w:autoSpaceDE w:val="0"/>
                    <w:autoSpaceDN w:val="0"/>
                    <w:adjustRightInd w:val="0"/>
                    <w:jc w:val="center"/>
                    <w:rPr>
                      <w:sz w:val="20"/>
                    </w:rPr>
                  </w:pPr>
                </w:p>
                <w:p w14:paraId="0EF3BAF5" w14:textId="77777777" w:rsidR="005B4058" w:rsidRPr="009A546A" w:rsidRDefault="005B4058" w:rsidP="009E195A">
                  <w:pPr>
                    <w:autoSpaceDE w:val="0"/>
                    <w:autoSpaceDN w:val="0"/>
                    <w:adjustRightInd w:val="0"/>
                    <w:jc w:val="center"/>
                    <w:rPr>
                      <w:sz w:val="20"/>
                    </w:rPr>
                  </w:pPr>
                  <w:r w:rsidRPr="009A546A">
                    <w:rPr>
                      <w:sz w:val="20"/>
                    </w:rPr>
                    <w:t>Sarmiento 530, Piso 2º (C1041AAL)</w:t>
                  </w:r>
                </w:p>
                <w:p w14:paraId="375804B9" w14:textId="77777777" w:rsidR="005B4058" w:rsidRPr="009A546A" w:rsidRDefault="005B4058" w:rsidP="009E195A">
                  <w:pPr>
                    <w:autoSpaceDE w:val="0"/>
                    <w:autoSpaceDN w:val="0"/>
                    <w:adjustRightInd w:val="0"/>
                    <w:jc w:val="center"/>
                    <w:rPr>
                      <w:sz w:val="20"/>
                    </w:rPr>
                  </w:pPr>
                  <w:r w:rsidRPr="009A546A">
                    <w:rPr>
                      <w:sz w:val="20"/>
                    </w:rPr>
                    <w:t>Ciudad Autónoma de Buenos Aires, Argentina</w:t>
                  </w:r>
                </w:p>
              </w:tc>
            </w:tr>
          </w:tbl>
          <w:p w14:paraId="6857186B" w14:textId="77777777" w:rsidR="005B4058" w:rsidRPr="006B6155" w:rsidRDefault="005B4058" w:rsidP="009E195A">
            <w:pPr>
              <w:autoSpaceDE w:val="0"/>
              <w:autoSpaceDN w:val="0"/>
              <w:adjustRightInd w:val="0"/>
              <w:jc w:val="center"/>
              <w:rPr>
                <w:b/>
                <w:sz w:val="20"/>
              </w:rPr>
            </w:pPr>
          </w:p>
        </w:tc>
      </w:tr>
    </w:tbl>
    <w:p w14:paraId="63BB76B4" w14:textId="77777777" w:rsidR="005B4058" w:rsidRPr="006B6155" w:rsidRDefault="005B4058" w:rsidP="005B4058">
      <w:pPr>
        <w:tabs>
          <w:tab w:val="left" w:pos="6340"/>
        </w:tabs>
        <w:ind w:right="-2"/>
        <w:rPr>
          <w:sz w:val="20"/>
        </w:rPr>
      </w:pPr>
      <w:r w:rsidRPr="006B6155">
        <w:rPr>
          <w:sz w:val="20"/>
        </w:rPr>
        <w:tab/>
      </w:r>
    </w:p>
    <w:p w14:paraId="4A0D9215" w14:textId="19E046A2" w:rsidR="003B23DA" w:rsidRDefault="005B4058" w:rsidP="00FA6103">
      <w:pPr>
        <w:spacing w:before="120" w:after="120" w:line="8" w:lineRule="atLeast"/>
        <w:ind w:right="-1"/>
        <w:jc w:val="center"/>
        <w:rPr>
          <w:sz w:val="20"/>
        </w:rPr>
      </w:pPr>
      <w:r w:rsidRPr="006B6155">
        <w:rPr>
          <w:sz w:val="20"/>
        </w:rPr>
        <w:t>La fecha de la presente Adenda es 29 de junio de 2021.</w:t>
      </w:r>
    </w:p>
    <w:p w14:paraId="46417CAE" w14:textId="77777777" w:rsidR="006E5C62" w:rsidRPr="006B6155" w:rsidRDefault="006E5C62" w:rsidP="006E5C62">
      <w:pPr>
        <w:spacing w:before="120" w:after="120" w:line="8" w:lineRule="atLeast"/>
        <w:ind w:right="-1"/>
        <w:rPr>
          <w:sz w:val="20"/>
        </w:rPr>
      </w:pPr>
    </w:p>
    <w:p w14:paraId="206263BF" w14:textId="77777777" w:rsidR="005B4058" w:rsidRPr="006B6155" w:rsidRDefault="005B4058" w:rsidP="005B4058">
      <w:pPr>
        <w:ind w:right="-2"/>
        <w:jc w:val="center"/>
        <w:rPr>
          <w:b/>
          <w:color w:val="000000"/>
          <w:sz w:val="20"/>
        </w:rPr>
      </w:pPr>
      <w:r w:rsidRPr="006B6155">
        <w:rPr>
          <w:b/>
          <w:color w:val="000000"/>
          <w:sz w:val="20"/>
        </w:rPr>
        <w:t>________________________________________</w:t>
      </w:r>
    </w:p>
    <w:p w14:paraId="79995865" w14:textId="77777777" w:rsidR="005B4058" w:rsidRPr="006B6155" w:rsidRDefault="005B4058" w:rsidP="005B4058">
      <w:pPr>
        <w:ind w:right="-2"/>
        <w:jc w:val="center"/>
        <w:rPr>
          <w:sz w:val="20"/>
        </w:rPr>
      </w:pPr>
      <w:r w:rsidRPr="006B6155">
        <w:rPr>
          <w:b/>
          <w:sz w:val="20"/>
        </w:rPr>
        <w:t>Matías I. Gaivironsky</w:t>
      </w:r>
      <w:r w:rsidRPr="006B6155">
        <w:rPr>
          <w:sz w:val="20"/>
        </w:rPr>
        <w:t xml:space="preserve"> </w:t>
      </w:r>
    </w:p>
    <w:p w14:paraId="64D6BF26" w14:textId="2A904EE5" w:rsidR="00585907" w:rsidRPr="009A546A" w:rsidRDefault="005B4058" w:rsidP="009A546A">
      <w:pPr>
        <w:ind w:right="-2"/>
        <w:jc w:val="center"/>
        <w:rPr>
          <w:b/>
          <w:color w:val="000000"/>
          <w:sz w:val="20"/>
        </w:rPr>
      </w:pPr>
      <w:r w:rsidRPr="006B6155">
        <w:rPr>
          <w:b/>
          <w:color w:val="000000"/>
          <w:sz w:val="20"/>
        </w:rPr>
        <w:t>Subdelegado</w:t>
      </w:r>
    </w:p>
    <w:sectPr w:rsidR="00585907" w:rsidRPr="009A546A" w:rsidSect="00136E5B">
      <w:headerReference w:type="default" r:id="rId19"/>
      <w:footerReference w:type="default" r:id="rId20"/>
      <w:pgSz w:w="11907" w:h="16840" w:code="9"/>
      <w:pgMar w:top="2552" w:right="1797" w:bottom="993" w:left="179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1EBAE" w14:textId="77777777" w:rsidR="00110864" w:rsidRDefault="00110864">
      <w:r>
        <w:separator/>
      </w:r>
    </w:p>
  </w:endnote>
  <w:endnote w:type="continuationSeparator" w:id="0">
    <w:p w14:paraId="3511DCC6" w14:textId="77777777" w:rsidR="00110864" w:rsidRDefault="00110864">
      <w:r>
        <w:continuationSeparator/>
      </w:r>
    </w:p>
  </w:endnote>
  <w:endnote w:type="continuationNotice" w:id="1">
    <w:p w14:paraId="47AFA588" w14:textId="77777777" w:rsidR="00110864" w:rsidRDefault="00110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FB537" w14:textId="77777777" w:rsidR="00E11375" w:rsidRDefault="00E11375">
    <w:pPr>
      <w:pStyle w:val="Footer"/>
      <w:rPr>
        <w:rFonts w:ascii="Garamond" w:hAnsi="Garamond"/>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111E2" w14:textId="77777777" w:rsidR="00110864" w:rsidRDefault="00110864">
      <w:r>
        <w:separator/>
      </w:r>
    </w:p>
  </w:footnote>
  <w:footnote w:type="continuationSeparator" w:id="0">
    <w:p w14:paraId="3B235852" w14:textId="77777777" w:rsidR="00110864" w:rsidRDefault="00110864">
      <w:r>
        <w:continuationSeparator/>
      </w:r>
    </w:p>
  </w:footnote>
  <w:footnote w:type="continuationNotice" w:id="1">
    <w:p w14:paraId="5B4DD6E3" w14:textId="77777777" w:rsidR="00110864" w:rsidRDefault="001108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91DF7" w14:textId="580F2B55" w:rsidR="006A2267" w:rsidRDefault="00037571">
    <w:pPr>
      <w:pStyle w:val="Header"/>
    </w:pPr>
    <w:r w:rsidRPr="00626DBE">
      <w:rPr>
        <w:b/>
        <w:noProof/>
        <w:sz w:val="20"/>
        <w:lang w:eastAsia="es-AR"/>
      </w:rPr>
      <w:drawing>
        <wp:inline distT="0" distB="0" distL="0" distR="0" wp14:anchorId="0054958D" wp14:editId="47F9DFE5">
          <wp:extent cx="1195070" cy="54229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5422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10A"/>
    <w:multiLevelType w:val="hybridMultilevel"/>
    <w:tmpl w:val="0E5678DC"/>
    <w:lvl w:ilvl="0" w:tplc="0C0A0001">
      <w:start w:val="1"/>
      <w:numFmt w:val="bullet"/>
      <w:lvlText w:val=""/>
      <w:lvlJc w:val="left"/>
      <w:pPr>
        <w:ind w:left="3272" w:hanging="360"/>
      </w:pPr>
      <w:rPr>
        <w:rFonts w:ascii="Symbol" w:hAnsi="Symbol"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
    <w:nsid w:val="041431FD"/>
    <w:multiLevelType w:val="hybridMultilevel"/>
    <w:tmpl w:val="EB3E3D2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AE48E4"/>
    <w:multiLevelType w:val="multilevel"/>
    <w:tmpl w:val="E322175A"/>
    <w:lvl w:ilvl="0">
      <w:start w:val="2"/>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5F23A8B"/>
    <w:multiLevelType w:val="hybridMultilevel"/>
    <w:tmpl w:val="4EA8D92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FF7CB2"/>
    <w:multiLevelType w:val="hybridMultilevel"/>
    <w:tmpl w:val="F718052E"/>
    <w:lvl w:ilvl="0" w:tplc="8BF4AEA8">
      <w:start w:val="1"/>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09181513"/>
    <w:multiLevelType w:val="hybridMultilevel"/>
    <w:tmpl w:val="2BE45040"/>
    <w:lvl w:ilvl="0" w:tplc="D8941E1A">
      <w:start w:val="1"/>
      <w:numFmt w:val="lowerLetter"/>
      <w:lvlText w:val="%1."/>
      <w:lvlJc w:val="left"/>
      <w:pPr>
        <w:ind w:left="1134" w:hanging="360"/>
      </w:pPr>
      <w:rPr>
        <w:rFonts w:hint="default"/>
      </w:rPr>
    </w:lvl>
    <w:lvl w:ilvl="1" w:tplc="0C0A0019" w:tentative="1">
      <w:start w:val="1"/>
      <w:numFmt w:val="lowerLetter"/>
      <w:lvlText w:val="%2."/>
      <w:lvlJc w:val="left"/>
      <w:pPr>
        <w:ind w:left="1854" w:hanging="360"/>
      </w:pPr>
    </w:lvl>
    <w:lvl w:ilvl="2" w:tplc="0C0A001B" w:tentative="1">
      <w:start w:val="1"/>
      <w:numFmt w:val="lowerRoman"/>
      <w:lvlText w:val="%3."/>
      <w:lvlJc w:val="right"/>
      <w:pPr>
        <w:ind w:left="2574" w:hanging="180"/>
      </w:pPr>
    </w:lvl>
    <w:lvl w:ilvl="3" w:tplc="0C0A000F" w:tentative="1">
      <w:start w:val="1"/>
      <w:numFmt w:val="decimal"/>
      <w:lvlText w:val="%4."/>
      <w:lvlJc w:val="left"/>
      <w:pPr>
        <w:ind w:left="3294" w:hanging="360"/>
      </w:pPr>
    </w:lvl>
    <w:lvl w:ilvl="4" w:tplc="0C0A0019" w:tentative="1">
      <w:start w:val="1"/>
      <w:numFmt w:val="lowerLetter"/>
      <w:lvlText w:val="%5."/>
      <w:lvlJc w:val="left"/>
      <w:pPr>
        <w:ind w:left="4014" w:hanging="360"/>
      </w:pPr>
    </w:lvl>
    <w:lvl w:ilvl="5" w:tplc="0C0A001B" w:tentative="1">
      <w:start w:val="1"/>
      <w:numFmt w:val="lowerRoman"/>
      <w:lvlText w:val="%6."/>
      <w:lvlJc w:val="right"/>
      <w:pPr>
        <w:ind w:left="4734" w:hanging="180"/>
      </w:pPr>
    </w:lvl>
    <w:lvl w:ilvl="6" w:tplc="0C0A000F" w:tentative="1">
      <w:start w:val="1"/>
      <w:numFmt w:val="decimal"/>
      <w:lvlText w:val="%7."/>
      <w:lvlJc w:val="left"/>
      <w:pPr>
        <w:ind w:left="5454" w:hanging="360"/>
      </w:pPr>
    </w:lvl>
    <w:lvl w:ilvl="7" w:tplc="0C0A0019" w:tentative="1">
      <w:start w:val="1"/>
      <w:numFmt w:val="lowerLetter"/>
      <w:lvlText w:val="%8."/>
      <w:lvlJc w:val="left"/>
      <w:pPr>
        <w:ind w:left="6174" w:hanging="360"/>
      </w:pPr>
    </w:lvl>
    <w:lvl w:ilvl="8" w:tplc="0C0A001B" w:tentative="1">
      <w:start w:val="1"/>
      <w:numFmt w:val="lowerRoman"/>
      <w:lvlText w:val="%9."/>
      <w:lvlJc w:val="right"/>
      <w:pPr>
        <w:ind w:left="6894" w:hanging="180"/>
      </w:pPr>
    </w:lvl>
  </w:abstractNum>
  <w:abstractNum w:abstractNumId="6">
    <w:nsid w:val="14251577"/>
    <w:multiLevelType w:val="hybridMultilevel"/>
    <w:tmpl w:val="54465264"/>
    <w:lvl w:ilvl="0" w:tplc="43628052">
      <w:start w:val="1"/>
      <w:numFmt w:val="decimal"/>
      <w:lvlText w:val="%1)"/>
      <w:lvlJc w:val="left"/>
      <w:pPr>
        <w:ind w:left="2061" w:hanging="360"/>
      </w:pPr>
      <w:rPr>
        <w:rFonts w:hint="default"/>
      </w:rPr>
    </w:lvl>
    <w:lvl w:ilvl="1" w:tplc="2C0A0019" w:tentative="1">
      <w:start w:val="1"/>
      <w:numFmt w:val="lowerLetter"/>
      <w:lvlText w:val="%2."/>
      <w:lvlJc w:val="left"/>
      <w:pPr>
        <w:ind w:left="2781" w:hanging="360"/>
      </w:pPr>
    </w:lvl>
    <w:lvl w:ilvl="2" w:tplc="2C0A001B" w:tentative="1">
      <w:start w:val="1"/>
      <w:numFmt w:val="lowerRoman"/>
      <w:lvlText w:val="%3."/>
      <w:lvlJc w:val="right"/>
      <w:pPr>
        <w:ind w:left="3501" w:hanging="180"/>
      </w:pPr>
    </w:lvl>
    <w:lvl w:ilvl="3" w:tplc="2C0A000F" w:tentative="1">
      <w:start w:val="1"/>
      <w:numFmt w:val="decimal"/>
      <w:lvlText w:val="%4."/>
      <w:lvlJc w:val="left"/>
      <w:pPr>
        <w:ind w:left="4221" w:hanging="360"/>
      </w:pPr>
    </w:lvl>
    <w:lvl w:ilvl="4" w:tplc="2C0A0019" w:tentative="1">
      <w:start w:val="1"/>
      <w:numFmt w:val="lowerLetter"/>
      <w:lvlText w:val="%5."/>
      <w:lvlJc w:val="left"/>
      <w:pPr>
        <w:ind w:left="4941" w:hanging="360"/>
      </w:pPr>
    </w:lvl>
    <w:lvl w:ilvl="5" w:tplc="2C0A001B" w:tentative="1">
      <w:start w:val="1"/>
      <w:numFmt w:val="lowerRoman"/>
      <w:lvlText w:val="%6."/>
      <w:lvlJc w:val="right"/>
      <w:pPr>
        <w:ind w:left="5661" w:hanging="180"/>
      </w:pPr>
    </w:lvl>
    <w:lvl w:ilvl="6" w:tplc="2C0A000F" w:tentative="1">
      <w:start w:val="1"/>
      <w:numFmt w:val="decimal"/>
      <w:lvlText w:val="%7."/>
      <w:lvlJc w:val="left"/>
      <w:pPr>
        <w:ind w:left="6381" w:hanging="360"/>
      </w:pPr>
    </w:lvl>
    <w:lvl w:ilvl="7" w:tplc="2C0A0019" w:tentative="1">
      <w:start w:val="1"/>
      <w:numFmt w:val="lowerLetter"/>
      <w:lvlText w:val="%8."/>
      <w:lvlJc w:val="left"/>
      <w:pPr>
        <w:ind w:left="7101" w:hanging="360"/>
      </w:pPr>
    </w:lvl>
    <w:lvl w:ilvl="8" w:tplc="2C0A001B" w:tentative="1">
      <w:start w:val="1"/>
      <w:numFmt w:val="lowerRoman"/>
      <w:lvlText w:val="%9."/>
      <w:lvlJc w:val="right"/>
      <w:pPr>
        <w:ind w:left="7821" w:hanging="180"/>
      </w:pPr>
    </w:lvl>
  </w:abstractNum>
  <w:abstractNum w:abstractNumId="7">
    <w:nsid w:val="18396E12"/>
    <w:multiLevelType w:val="hybridMultilevel"/>
    <w:tmpl w:val="BB54F5B0"/>
    <w:lvl w:ilvl="0" w:tplc="0DDADB62">
      <w:start w:val="1"/>
      <w:numFmt w:val="lowerLetter"/>
      <w:lvlText w:val="%1)"/>
      <w:lvlJc w:val="left"/>
      <w:pPr>
        <w:ind w:left="1778" w:hanging="360"/>
      </w:pPr>
      <w:rPr>
        <w:rFonts w:hint="default"/>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8">
    <w:nsid w:val="18731F67"/>
    <w:multiLevelType w:val="hybridMultilevel"/>
    <w:tmpl w:val="B54E07BA"/>
    <w:lvl w:ilvl="0" w:tplc="10085AB8">
      <w:start w:val="1"/>
      <w:numFmt w:val="lowerLetter"/>
      <w:lvlText w:val="%1."/>
      <w:lvlJc w:val="left"/>
      <w:pPr>
        <w:tabs>
          <w:tab w:val="num" w:pos="2770"/>
        </w:tabs>
        <w:ind w:left="2770" w:hanging="360"/>
      </w:pPr>
      <w:rPr>
        <w:rFonts w:hint="default"/>
      </w:rPr>
    </w:lvl>
    <w:lvl w:ilvl="1" w:tplc="04090019" w:tentative="1">
      <w:start w:val="1"/>
      <w:numFmt w:val="lowerLetter"/>
      <w:lvlText w:val="%2."/>
      <w:lvlJc w:val="left"/>
      <w:pPr>
        <w:tabs>
          <w:tab w:val="num" w:pos="3490"/>
        </w:tabs>
        <w:ind w:left="3490" w:hanging="360"/>
      </w:pPr>
    </w:lvl>
    <w:lvl w:ilvl="2" w:tplc="0409001B" w:tentative="1">
      <w:start w:val="1"/>
      <w:numFmt w:val="lowerRoman"/>
      <w:lvlText w:val="%3."/>
      <w:lvlJc w:val="right"/>
      <w:pPr>
        <w:tabs>
          <w:tab w:val="num" w:pos="4210"/>
        </w:tabs>
        <w:ind w:left="4210" w:hanging="180"/>
      </w:pPr>
    </w:lvl>
    <w:lvl w:ilvl="3" w:tplc="0409000F" w:tentative="1">
      <w:start w:val="1"/>
      <w:numFmt w:val="decimal"/>
      <w:lvlText w:val="%4."/>
      <w:lvlJc w:val="left"/>
      <w:pPr>
        <w:tabs>
          <w:tab w:val="num" w:pos="4930"/>
        </w:tabs>
        <w:ind w:left="4930" w:hanging="360"/>
      </w:pPr>
    </w:lvl>
    <w:lvl w:ilvl="4" w:tplc="04090019" w:tentative="1">
      <w:start w:val="1"/>
      <w:numFmt w:val="lowerLetter"/>
      <w:lvlText w:val="%5."/>
      <w:lvlJc w:val="left"/>
      <w:pPr>
        <w:tabs>
          <w:tab w:val="num" w:pos="5650"/>
        </w:tabs>
        <w:ind w:left="5650" w:hanging="360"/>
      </w:pPr>
    </w:lvl>
    <w:lvl w:ilvl="5" w:tplc="0409001B" w:tentative="1">
      <w:start w:val="1"/>
      <w:numFmt w:val="lowerRoman"/>
      <w:lvlText w:val="%6."/>
      <w:lvlJc w:val="right"/>
      <w:pPr>
        <w:tabs>
          <w:tab w:val="num" w:pos="6370"/>
        </w:tabs>
        <w:ind w:left="6370" w:hanging="180"/>
      </w:pPr>
    </w:lvl>
    <w:lvl w:ilvl="6" w:tplc="0409000F" w:tentative="1">
      <w:start w:val="1"/>
      <w:numFmt w:val="decimal"/>
      <w:lvlText w:val="%7."/>
      <w:lvlJc w:val="left"/>
      <w:pPr>
        <w:tabs>
          <w:tab w:val="num" w:pos="7090"/>
        </w:tabs>
        <w:ind w:left="7090" w:hanging="360"/>
      </w:pPr>
    </w:lvl>
    <w:lvl w:ilvl="7" w:tplc="04090019" w:tentative="1">
      <w:start w:val="1"/>
      <w:numFmt w:val="lowerLetter"/>
      <w:lvlText w:val="%8."/>
      <w:lvlJc w:val="left"/>
      <w:pPr>
        <w:tabs>
          <w:tab w:val="num" w:pos="7810"/>
        </w:tabs>
        <w:ind w:left="7810" w:hanging="360"/>
      </w:pPr>
    </w:lvl>
    <w:lvl w:ilvl="8" w:tplc="0409001B" w:tentative="1">
      <w:start w:val="1"/>
      <w:numFmt w:val="lowerRoman"/>
      <w:lvlText w:val="%9."/>
      <w:lvlJc w:val="right"/>
      <w:pPr>
        <w:tabs>
          <w:tab w:val="num" w:pos="8530"/>
        </w:tabs>
        <w:ind w:left="8530" w:hanging="180"/>
      </w:pPr>
    </w:lvl>
  </w:abstractNum>
  <w:abstractNum w:abstractNumId="9">
    <w:nsid w:val="196452C1"/>
    <w:multiLevelType w:val="hybridMultilevel"/>
    <w:tmpl w:val="AAC612B8"/>
    <w:lvl w:ilvl="0" w:tplc="73167CEA">
      <w:start w:val="1"/>
      <w:numFmt w:val="upperRoman"/>
      <w:lvlText w:val="%1."/>
      <w:lvlJc w:val="left"/>
      <w:pPr>
        <w:ind w:left="2421" w:hanging="720"/>
      </w:pPr>
      <w:rPr>
        <w:rFonts w:hint="default"/>
        <w:b/>
      </w:rPr>
    </w:lvl>
    <w:lvl w:ilvl="1" w:tplc="2C0A0019">
      <w:start w:val="1"/>
      <w:numFmt w:val="lowerLetter"/>
      <w:lvlText w:val="%2."/>
      <w:lvlJc w:val="left"/>
      <w:pPr>
        <w:ind w:left="2781" w:hanging="360"/>
      </w:pPr>
    </w:lvl>
    <w:lvl w:ilvl="2" w:tplc="2C0A001B" w:tentative="1">
      <w:start w:val="1"/>
      <w:numFmt w:val="lowerRoman"/>
      <w:lvlText w:val="%3."/>
      <w:lvlJc w:val="right"/>
      <w:pPr>
        <w:ind w:left="3501" w:hanging="180"/>
      </w:pPr>
    </w:lvl>
    <w:lvl w:ilvl="3" w:tplc="2C0A000F" w:tentative="1">
      <w:start w:val="1"/>
      <w:numFmt w:val="decimal"/>
      <w:lvlText w:val="%4."/>
      <w:lvlJc w:val="left"/>
      <w:pPr>
        <w:ind w:left="4221" w:hanging="360"/>
      </w:pPr>
    </w:lvl>
    <w:lvl w:ilvl="4" w:tplc="2C0A0019" w:tentative="1">
      <w:start w:val="1"/>
      <w:numFmt w:val="lowerLetter"/>
      <w:lvlText w:val="%5."/>
      <w:lvlJc w:val="left"/>
      <w:pPr>
        <w:ind w:left="4941" w:hanging="360"/>
      </w:pPr>
    </w:lvl>
    <w:lvl w:ilvl="5" w:tplc="2C0A001B" w:tentative="1">
      <w:start w:val="1"/>
      <w:numFmt w:val="lowerRoman"/>
      <w:lvlText w:val="%6."/>
      <w:lvlJc w:val="right"/>
      <w:pPr>
        <w:ind w:left="5661" w:hanging="180"/>
      </w:pPr>
    </w:lvl>
    <w:lvl w:ilvl="6" w:tplc="2C0A000F" w:tentative="1">
      <w:start w:val="1"/>
      <w:numFmt w:val="decimal"/>
      <w:lvlText w:val="%7."/>
      <w:lvlJc w:val="left"/>
      <w:pPr>
        <w:ind w:left="6381" w:hanging="360"/>
      </w:pPr>
    </w:lvl>
    <w:lvl w:ilvl="7" w:tplc="2C0A0019" w:tentative="1">
      <w:start w:val="1"/>
      <w:numFmt w:val="lowerLetter"/>
      <w:lvlText w:val="%8."/>
      <w:lvlJc w:val="left"/>
      <w:pPr>
        <w:ind w:left="7101" w:hanging="360"/>
      </w:pPr>
    </w:lvl>
    <w:lvl w:ilvl="8" w:tplc="2C0A001B" w:tentative="1">
      <w:start w:val="1"/>
      <w:numFmt w:val="lowerRoman"/>
      <w:lvlText w:val="%9."/>
      <w:lvlJc w:val="right"/>
      <w:pPr>
        <w:ind w:left="7821" w:hanging="180"/>
      </w:pPr>
    </w:lvl>
  </w:abstractNum>
  <w:abstractNum w:abstractNumId="10">
    <w:nsid w:val="1A3F167F"/>
    <w:multiLevelType w:val="hybridMultilevel"/>
    <w:tmpl w:val="727A563A"/>
    <w:lvl w:ilvl="0" w:tplc="E82C697E">
      <w:start w:val="1"/>
      <w:numFmt w:val="lowerRoman"/>
      <w:lvlText w:val="(%1)"/>
      <w:lvlJc w:val="left"/>
      <w:pPr>
        <w:ind w:left="3360" w:hanging="720"/>
      </w:pPr>
      <w:rPr>
        <w:rFonts w:hint="default"/>
      </w:rPr>
    </w:lvl>
    <w:lvl w:ilvl="1" w:tplc="0C0A0019" w:tentative="1">
      <w:start w:val="1"/>
      <w:numFmt w:val="lowerLetter"/>
      <w:lvlText w:val="%2."/>
      <w:lvlJc w:val="left"/>
      <w:pPr>
        <w:ind w:left="3720" w:hanging="360"/>
      </w:pPr>
    </w:lvl>
    <w:lvl w:ilvl="2" w:tplc="0C0A001B" w:tentative="1">
      <w:start w:val="1"/>
      <w:numFmt w:val="lowerRoman"/>
      <w:lvlText w:val="%3."/>
      <w:lvlJc w:val="right"/>
      <w:pPr>
        <w:ind w:left="4440" w:hanging="180"/>
      </w:pPr>
    </w:lvl>
    <w:lvl w:ilvl="3" w:tplc="0C0A000F" w:tentative="1">
      <w:start w:val="1"/>
      <w:numFmt w:val="decimal"/>
      <w:lvlText w:val="%4."/>
      <w:lvlJc w:val="left"/>
      <w:pPr>
        <w:ind w:left="5160" w:hanging="360"/>
      </w:pPr>
    </w:lvl>
    <w:lvl w:ilvl="4" w:tplc="0C0A0019" w:tentative="1">
      <w:start w:val="1"/>
      <w:numFmt w:val="lowerLetter"/>
      <w:lvlText w:val="%5."/>
      <w:lvlJc w:val="left"/>
      <w:pPr>
        <w:ind w:left="5880" w:hanging="360"/>
      </w:pPr>
    </w:lvl>
    <w:lvl w:ilvl="5" w:tplc="0C0A001B" w:tentative="1">
      <w:start w:val="1"/>
      <w:numFmt w:val="lowerRoman"/>
      <w:lvlText w:val="%6."/>
      <w:lvlJc w:val="right"/>
      <w:pPr>
        <w:ind w:left="6600" w:hanging="180"/>
      </w:pPr>
    </w:lvl>
    <w:lvl w:ilvl="6" w:tplc="0C0A000F" w:tentative="1">
      <w:start w:val="1"/>
      <w:numFmt w:val="decimal"/>
      <w:lvlText w:val="%7."/>
      <w:lvlJc w:val="left"/>
      <w:pPr>
        <w:ind w:left="7320" w:hanging="360"/>
      </w:pPr>
    </w:lvl>
    <w:lvl w:ilvl="7" w:tplc="0C0A0019" w:tentative="1">
      <w:start w:val="1"/>
      <w:numFmt w:val="lowerLetter"/>
      <w:lvlText w:val="%8."/>
      <w:lvlJc w:val="left"/>
      <w:pPr>
        <w:ind w:left="8040" w:hanging="360"/>
      </w:pPr>
    </w:lvl>
    <w:lvl w:ilvl="8" w:tplc="0C0A001B" w:tentative="1">
      <w:start w:val="1"/>
      <w:numFmt w:val="lowerRoman"/>
      <w:lvlText w:val="%9."/>
      <w:lvlJc w:val="right"/>
      <w:pPr>
        <w:ind w:left="8760" w:hanging="180"/>
      </w:pPr>
    </w:lvl>
  </w:abstractNum>
  <w:abstractNum w:abstractNumId="11">
    <w:nsid w:val="238A1FFD"/>
    <w:multiLevelType w:val="hybridMultilevel"/>
    <w:tmpl w:val="2BE45040"/>
    <w:lvl w:ilvl="0" w:tplc="D8941E1A">
      <w:start w:val="1"/>
      <w:numFmt w:val="lowerLetter"/>
      <w:lvlText w:val="%1."/>
      <w:lvlJc w:val="left"/>
      <w:pPr>
        <w:ind w:left="1134" w:hanging="360"/>
      </w:pPr>
      <w:rPr>
        <w:rFonts w:hint="default"/>
      </w:rPr>
    </w:lvl>
    <w:lvl w:ilvl="1" w:tplc="0C0A0019" w:tentative="1">
      <w:start w:val="1"/>
      <w:numFmt w:val="lowerLetter"/>
      <w:lvlText w:val="%2."/>
      <w:lvlJc w:val="left"/>
      <w:pPr>
        <w:ind w:left="1854" w:hanging="360"/>
      </w:pPr>
    </w:lvl>
    <w:lvl w:ilvl="2" w:tplc="0C0A001B" w:tentative="1">
      <w:start w:val="1"/>
      <w:numFmt w:val="lowerRoman"/>
      <w:lvlText w:val="%3."/>
      <w:lvlJc w:val="right"/>
      <w:pPr>
        <w:ind w:left="2574" w:hanging="180"/>
      </w:pPr>
    </w:lvl>
    <w:lvl w:ilvl="3" w:tplc="0C0A000F" w:tentative="1">
      <w:start w:val="1"/>
      <w:numFmt w:val="decimal"/>
      <w:lvlText w:val="%4."/>
      <w:lvlJc w:val="left"/>
      <w:pPr>
        <w:ind w:left="3294" w:hanging="360"/>
      </w:pPr>
    </w:lvl>
    <w:lvl w:ilvl="4" w:tplc="0C0A0019" w:tentative="1">
      <w:start w:val="1"/>
      <w:numFmt w:val="lowerLetter"/>
      <w:lvlText w:val="%5."/>
      <w:lvlJc w:val="left"/>
      <w:pPr>
        <w:ind w:left="4014" w:hanging="360"/>
      </w:pPr>
    </w:lvl>
    <w:lvl w:ilvl="5" w:tplc="0C0A001B" w:tentative="1">
      <w:start w:val="1"/>
      <w:numFmt w:val="lowerRoman"/>
      <w:lvlText w:val="%6."/>
      <w:lvlJc w:val="right"/>
      <w:pPr>
        <w:ind w:left="4734" w:hanging="180"/>
      </w:pPr>
    </w:lvl>
    <w:lvl w:ilvl="6" w:tplc="0C0A000F" w:tentative="1">
      <w:start w:val="1"/>
      <w:numFmt w:val="decimal"/>
      <w:lvlText w:val="%7."/>
      <w:lvlJc w:val="left"/>
      <w:pPr>
        <w:ind w:left="5454" w:hanging="360"/>
      </w:pPr>
    </w:lvl>
    <w:lvl w:ilvl="7" w:tplc="0C0A0019" w:tentative="1">
      <w:start w:val="1"/>
      <w:numFmt w:val="lowerLetter"/>
      <w:lvlText w:val="%8."/>
      <w:lvlJc w:val="left"/>
      <w:pPr>
        <w:ind w:left="6174" w:hanging="360"/>
      </w:pPr>
    </w:lvl>
    <w:lvl w:ilvl="8" w:tplc="0C0A001B" w:tentative="1">
      <w:start w:val="1"/>
      <w:numFmt w:val="lowerRoman"/>
      <w:lvlText w:val="%9."/>
      <w:lvlJc w:val="right"/>
      <w:pPr>
        <w:ind w:left="6894" w:hanging="180"/>
      </w:pPr>
    </w:lvl>
  </w:abstractNum>
  <w:abstractNum w:abstractNumId="12">
    <w:nsid w:val="270474C2"/>
    <w:multiLevelType w:val="hybridMultilevel"/>
    <w:tmpl w:val="BB54F5B0"/>
    <w:lvl w:ilvl="0" w:tplc="0DDADB62">
      <w:start w:val="1"/>
      <w:numFmt w:val="lowerLetter"/>
      <w:lvlText w:val="%1)"/>
      <w:lvlJc w:val="left"/>
      <w:pPr>
        <w:ind w:left="1778" w:hanging="360"/>
      </w:pPr>
      <w:rPr>
        <w:rFonts w:hint="default"/>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13">
    <w:nsid w:val="27C03C2F"/>
    <w:multiLevelType w:val="hybridMultilevel"/>
    <w:tmpl w:val="9DC4E6F2"/>
    <w:lvl w:ilvl="0" w:tplc="9EC2E046">
      <w:numFmt w:val="bullet"/>
      <w:lvlText w:val="-"/>
      <w:lvlJc w:val="left"/>
      <w:pPr>
        <w:ind w:left="2121" w:hanging="360"/>
      </w:pPr>
      <w:rPr>
        <w:rFonts w:ascii="Garamond" w:eastAsia="Times New Roman" w:hAnsi="Garamond" w:cs="Times New Roman" w:hint="default"/>
      </w:rPr>
    </w:lvl>
    <w:lvl w:ilvl="1" w:tplc="2C0A0003" w:tentative="1">
      <w:start w:val="1"/>
      <w:numFmt w:val="bullet"/>
      <w:lvlText w:val="o"/>
      <w:lvlJc w:val="left"/>
      <w:pPr>
        <w:ind w:left="2841" w:hanging="360"/>
      </w:pPr>
      <w:rPr>
        <w:rFonts w:ascii="Courier New" w:hAnsi="Courier New" w:cs="Courier New" w:hint="default"/>
      </w:rPr>
    </w:lvl>
    <w:lvl w:ilvl="2" w:tplc="2C0A0005" w:tentative="1">
      <w:start w:val="1"/>
      <w:numFmt w:val="bullet"/>
      <w:lvlText w:val=""/>
      <w:lvlJc w:val="left"/>
      <w:pPr>
        <w:ind w:left="3561" w:hanging="360"/>
      </w:pPr>
      <w:rPr>
        <w:rFonts w:ascii="Wingdings" w:hAnsi="Wingdings" w:hint="default"/>
      </w:rPr>
    </w:lvl>
    <w:lvl w:ilvl="3" w:tplc="2C0A0001" w:tentative="1">
      <w:start w:val="1"/>
      <w:numFmt w:val="bullet"/>
      <w:lvlText w:val=""/>
      <w:lvlJc w:val="left"/>
      <w:pPr>
        <w:ind w:left="4281" w:hanging="360"/>
      </w:pPr>
      <w:rPr>
        <w:rFonts w:ascii="Symbol" w:hAnsi="Symbol" w:hint="default"/>
      </w:rPr>
    </w:lvl>
    <w:lvl w:ilvl="4" w:tplc="2C0A0003" w:tentative="1">
      <w:start w:val="1"/>
      <w:numFmt w:val="bullet"/>
      <w:lvlText w:val="o"/>
      <w:lvlJc w:val="left"/>
      <w:pPr>
        <w:ind w:left="5001" w:hanging="360"/>
      </w:pPr>
      <w:rPr>
        <w:rFonts w:ascii="Courier New" w:hAnsi="Courier New" w:cs="Courier New" w:hint="default"/>
      </w:rPr>
    </w:lvl>
    <w:lvl w:ilvl="5" w:tplc="2C0A0005" w:tentative="1">
      <w:start w:val="1"/>
      <w:numFmt w:val="bullet"/>
      <w:lvlText w:val=""/>
      <w:lvlJc w:val="left"/>
      <w:pPr>
        <w:ind w:left="5721" w:hanging="360"/>
      </w:pPr>
      <w:rPr>
        <w:rFonts w:ascii="Wingdings" w:hAnsi="Wingdings" w:hint="default"/>
      </w:rPr>
    </w:lvl>
    <w:lvl w:ilvl="6" w:tplc="2C0A0001" w:tentative="1">
      <w:start w:val="1"/>
      <w:numFmt w:val="bullet"/>
      <w:lvlText w:val=""/>
      <w:lvlJc w:val="left"/>
      <w:pPr>
        <w:ind w:left="6441" w:hanging="360"/>
      </w:pPr>
      <w:rPr>
        <w:rFonts w:ascii="Symbol" w:hAnsi="Symbol" w:hint="default"/>
      </w:rPr>
    </w:lvl>
    <w:lvl w:ilvl="7" w:tplc="2C0A0003" w:tentative="1">
      <w:start w:val="1"/>
      <w:numFmt w:val="bullet"/>
      <w:lvlText w:val="o"/>
      <w:lvlJc w:val="left"/>
      <w:pPr>
        <w:ind w:left="7161" w:hanging="360"/>
      </w:pPr>
      <w:rPr>
        <w:rFonts w:ascii="Courier New" w:hAnsi="Courier New" w:cs="Courier New" w:hint="default"/>
      </w:rPr>
    </w:lvl>
    <w:lvl w:ilvl="8" w:tplc="2C0A0005" w:tentative="1">
      <w:start w:val="1"/>
      <w:numFmt w:val="bullet"/>
      <w:lvlText w:val=""/>
      <w:lvlJc w:val="left"/>
      <w:pPr>
        <w:ind w:left="7881" w:hanging="360"/>
      </w:pPr>
      <w:rPr>
        <w:rFonts w:ascii="Wingdings" w:hAnsi="Wingdings" w:hint="default"/>
      </w:rPr>
    </w:lvl>
  </w:abstractNum>
  <w:abstractNum w:abstractNumId="14">
    <w:nsid w:val="28B2643A"/>
    <w:multiLevelType w:val="hybridMultilevel"/>
    <w:tmpl w:val="B7D8749C"/>
    <w:lvl w:ilvl="0" w:tplc="0C0A0001">
      <w:start w:val="1"/>
      <w:numFmt w:val="bullet"/>
      <w:lvlText w:val=""/>
      <w:lvlJc w:val="left"/>
      <w:pPr>
        <w:tabs>
          <w:tab w:val="num" w:pos="1620"/>
        </w:tabs>
        <w:ind w:left="1620" w:hanging="360"/>
      </w:pPr>
      <w:rPr>
        <w:rFonts w:ascii="Symbol" w:hAnsi="Symbol"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5">
    <w:nsid w:val="2D87587F"/>
    <w:multiLevelType w:val="hybridMultilevel"/>
    <w:tmpl w:val="689806F2"/>
    <w:lvl w:ilvl="0" w:tplc="BA3E5FB0">
      <w:start w:val="1"/>
      <w:numFmt w:val="lowerRoman"/>
      <w:lvlText w:val="%1."/>
      <w:lvlJc w:val="left"/>
      <w:pPr>
        <w:ind w:left="1287" w:hanging="72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16">
    <w:nsid w:val="33CF3FC8"/>
    <w:multiLevelType w:val="hybridMultilevel"/>
    <w:tmpl w:val="BB54F5B0"/>
    <w:lvl w:ilvl="0" w:tplc="0DDADB62">
      <w:start w:val="1"/>
      <w:numFmt w:val="lowerLetter"/>
      <w:lvlText w:val="%1)"/>
      <w:lvlJc w:val="left"/>
      <w:pPr>
        <w:ind w:left="1778" w:hanging="360"/>
      </w:pPr>
      <w:rPr>
        <w:rFonts w:hint="default"/>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17">
    <w:nsid w:val="342935EA"/>
    <w:multiLevelType w:val="hybridMultilevel"/>
    <w:tmpl w:val="BB54F5B0"/>
    <w:lvl w:ilvl="0" w:tplc="0DDADB62">
      <w:start w:val="1"/>
      <w:numFmt w:val="lowerLetter"/>
      <w:lvlText w:val="%1)"/>
      <w:lvlJc w:val="left"/>
      <w:pPr>
        <w:ind w:left="1778" w:hanging="360"/>
      </w:pPr>
      <w:rPr>
        <w:rFonts w:hint="default"/>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18">
    <w:nsid w:val="3BFA1F35"/>
    <w:multiLevelType w:val="singleLevel"/>
    <w:tmpl w:val="E296281A"/>
    <w:lvl w:ilvl="0">
      <w:start w:val="9"/>
      <w:numFmt w:val="upperRoman"/>
      <w:lvlText w:val="%1."/>
      <w:lvlJc w:val="left"/>
      <w:pPr>
        <w:tabs>
          <w:tab w:val="num" w:pos="1440"/>
        </w:tabs>
        <w:ind w:left="1440" w:hanging="1440"/>
      </w:pPr>
      <w:rPr>
        <w:rFonts w:hint="default"/>
        <w:b/>
      </w:rPr>
    </w:lvl>
  </w:abstractNum>
  <w:abstractNum w:abstractNumId="19">
    <w:nsid w:val="3C373C4E"/>
    <w:multiLevelType w:val="hybridMultilevel"/>
    <w:tmpl w:val="FB102B76"/>
    <w:lvl w:ilvl="0" w:tplc="077C8ED4">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8D841B4"/>
    <w:multiLevelType w:val="hybridMultilevel"/>
    <w:tmpl w:val="A07C2E6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CDC6722"/>
    <w:multiLevelType w:val="hybridMultilevel"/>
    <w:tmpl w:val="AFF8409C"/>
    <w:lvl w:ilvl="0" w:tplc="4C108F72">
      <w:start w:val="1"/>
      <w:numFmt w:val="bullet"/>
      <w:lvlText w:val=""/>
      <w:lvlJc w:val="left"/>
      <w:pPr>
        <w:ind w:left="1068" w:hanging="360"/>
      </w:pPr>
      <w:rPr>
        <w:rFonts w:ascii="Symbol" w:eastAsia="Calibri" w:hAnsi="Symbol" w:cs="Times New Roman"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2">
    <w:nsid w:val="513519C1"/>
    <w:multiLevelType w:val="hybridMultilevel"/>
    <w:tmpl w:val="414EAE18"/>
    <w:lvl w:ilvl="0" w:tplc="3BDE1CEE">
      <w:start w:val="1"/>
      <w:numFmt w:val="decimal"/>
      <w:lvlText w:val="%1)"/>
      <w:lvlJc w:val="left"/>
      <w:pPr>
        <w:tabs>
          <w:tab w:val="num" w:pos="3930"/>
        </w:tabs>
        <w:ind w:left="3930" w:hanging="2130"/>
      </w:pPr>
      <w:rPr>
        <w:rFonts w:hint="default"/>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23">
    <w:nsid w:val="585E5008"/>
    <w:multiLevelType w:val="hybridMultilevel"/>
    <w:tmpl w:val="1B9442B8"/>
    <w:lvl w:ilvl="0" w:tplc="45505DF6">
      <w:start w:val="1"/>
      <w:numFmt w:val="lowerRoman"/>
      <w:lvlText w:val="%1."/>
      <w:lvlJc w:val="left"/>
      <w:pPr>
        <w:ind w:left="1287" w:hanging="72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24">
    <w:nsid w:val="608A6A10"/>
    <w:multiLevelType w:val="hybridMultilevel"/>
    <w:tmpl w:val="6C1627E2"/>
    <w:lvl w:ilvl="0" w:tplc="F19457B4">
      <w:start w:val="1"/>
      <w:numFmt w:val="decimal"/>
      <w:lvlText w:val="(%1)"/>
      <w:lvlJc w:val="left"/>
      <w:pPr>
        <w:tabs>
          <w:tab w:val="num" w:pos="1620"/>
        </w:tabs>
        <w:ind w:left="1620" w:hanging="360"/>
      </w:pPr>
      <w:rPr>
        <w:rFonts w:hint="default"/>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25">
    <w:nsid w:val="6CF705DE"/>
    <w:multiLevelType w:val="hybridMultilevel"/>
    <w:tmpl w:val="2BE45040"/>
    <w:lvl w:ilvl="0" w:tplc="D8941E1A">
      <w:start w:val="1"/>
      <w:numFmt w:val="lowerLetter"/>
      <w:lvlText w:val="%1."/>
      <w:lvlJc w:val="left"/>
      <w:pPr>
        <w:ind w:left="1134" w:hanging="360"/>
      </w:pPr>
      <w:rPr>
        <w:rFonts w:hint="default"/>
      </w:rPr>
    </w:lvl>
    <w:lvl w:ilvl="1" w:tplc="0C0A0019" w:tentative="1">
      <w:start w:val="1"/>
      <w:numFmt w:val="lowerLetter"/>
      <w:lvlText w:val="%2."/>
      <w:lvlJc w:val="left"/>
      <w:pPr>
        <w:ind w:left="1854" w:hanging="360"/>
      </w:pPr>
    </w:lvl>
    <w:lvl w:ilvl="2" w:tplc="0C0A001B" w:tentative="1">
      <w:start w:val="1"/>
      <w:numFmt w:val="lowerRoman"/>
      <w:lvlText w:val="%3."/>
      <w:lvlJc w:val="right"/>
      <w:pPr>
        <w:ind w:left="2574" w:hanging="180"/>
      </w:pPr>
    </w:lvl>
    <w:lvl w:ilvl="3" w:tplc="0C0A000F" w:tentative="1">
      <w:start w:val="1"/>
      <w:numFmt w:val="decimal"/>
      <w:lvlText w:val="%4."/>
      <w:lvlJc w:val="left"/>
      <w:pPr>
        <w:ind w:left="3294" w:hanging="360"/>
      </w:pPr>
    </w:lvl>
    <w:lvl w:ilvl="4" w:tplc="0C0A0019" w:tentative="1">
      <w:start w:val="1"/>
      <w:numFmt w:val="lowerLetter"/>
      <w:lvlText w:val="%5."/>
      <w:lvlJc w:val="left"/>
      <w:pPr>
        <w:ind w:left="4014" w:hanging="360"/>
      </w:pPr>
    </w:lvl>
    <w:lvl w:ilvl="5" w:tplc="0C0A001B" w:tentative="1">
      <w:start w:val="1"/>
      <w:numFmt w:val="lowerRoman"/>
      <w:lvlText w:val="%6."/>
      <w:lvlJc w:val="right"/>
      <w:pPr>
        <w:ind w:left="4734" w:hanging="180"/>
      </w:pPr>
    </w:lvl>
    <w:lvl w:ilvl="6" w:tplc="0C0A000F" w:tentative="1">
      <w:start w:val="1"/>
      <w:numFmt w:val="decimal"/>
      <w:lvlText w:val="%7."/>
      <w:lvlJc w:val="left"/>
      <w:pPr>
        <w:ind w:left="5454" w:hanging="360"/>
      </w:pPr>
    </w:lvl>
    <w:lvl w:ilvl="7" w:tplc="0C0A0019" w:tentative="1">
      <w:start w:val="1"/>
      <w:numFmt w:val="lowerLetter"/>
      <w:lvlText w:val="%8."/>
      <w:lvlJc w:val="left"/>
      <w:pPr>
        <w:ind w:left="6174" w:hanging="360"/>
      </w:pPr>
    </w:lvl>
    <w:lvl w:ilvl="8" w:tplc="0C0A001B" w:tentative="1">
      <w:start w:val="1"/>
      <w:numFmt w:val="lowerRoman"/>
      <w:lvlText w:val="%9."/>
      <w:lvlJc w:val="right"/>
      <w:pPr>
        <w:ind w:left="6894" w:hanging="180"/>
      </w:pPr>
    </w:lvl>
  </w:abstractNum>
  <w:abstractNum w:abstractNumId="26">
    <w:nsid w:val="77F1357F"/>
    <w:multiLevelType w:val="hybridMultilevel"/>
    <w:tmpl w:val="32D81706"/>
    <w:lvl w:ilvl="0" w:tplc="7758EAAA">
      <w:start w:val="1"/>
      <w:numFmt w:val="bullet"/>
      <w:lvlText w:val=""/>
      <w:lvlJc w:val="left"/>
      <w:pPr>
        <w:tabs>
          <w:tab w:val="num" w:pos="360"/>
        </w:tabs>
        <w:ind w:left="360" w:hanging="360"/>
      </w:pPr>
      <w:rPr>
        <w:rFonts w:ascii="Symbol" w:hAnsi="Symbol" w:hint="default"/>
        <w:spacing w:val="0"/>
        <w:u w:val="none"/>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27">
    <w:nsid w:val="7A206036"/>
    <w:multiLevelType w:val="hybridMultilevel"/>
    <w:tmpl w:val="8D28D5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C163C70"/>
    <w:multiLevelType w:val="multilevel"/>
    <w:tmpl w:val="B7D8749C"/>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9">
    <w:nsid w:val="7FE67A7E"/>
    <w:multiLevelType w:val="hybridMultilevel"/>
    <w:tmpl w:val="4CB8C73E"/>
    <w:lvl w:ilvl="0" w:tplc="8ED60ED4">
      <w:start w:val="1"/>
      <w:numFmt w:val="decimal"/>
      <w:lvlText w:val="(%1)"/>
      <w:lvlJc w:val="left"/>
      <w:pPr>
        <w:tabs>
          <w:tab w:val="num" w:pos="5385"/>
        </w:tabs>
        <w:ind w:left="5385" w:hanging="2865"/>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18"/>
  </w:num>
  <w:num w:numId="2">
    <w:abstractNumId w:val="2"/>
  </w:num>
  <w:num w:numId="3">
    <w:abstractNumId w:val="29"/>
  </w:num>
  <w:num w:numId="4">
    <w:abstractNumId w:val="1"/>
  </w:num>
  <w:num w:numId="5">
    <w:abstractNumId w:val="3"/>
  </w:num>
  <w:num w:numId="6">
    <w:abstractNumId w:val="8"/>
  </w:num>
  <w:num w:numId="7">
    <w:abstractNumId w:val="20"/>
  </w:num>
  <w:num w:numId="8">
    <w:abstractNumId w:val="19"/>
  </w:num>
  <w:num w:numId="9">
    <w:abstractNumId w:val="26"/>
  </w:num>
  <w:num w:numId="10">
    <w:abstractNumId w:val="14"/>
  </w:num>
  <w:num w:numId="11">
    <w:abstractNumId w:val="28"/>
  </w:num>
  <w:num w:numId="12">
    <w:abstractNumId w:val="24"/>
  </w:num>
  <w:num w:numId="13">
    <w:abstractNumId w:val="22"/>
  </w:num>
  <w:num w:numId="14">
    <w:abstractNumId w:val="10"/>
  </w:num>
  <w:num w:numId="15">
    <w:abstractNumId w:val="25"/>
  </w:num>
  <w:num w:numId="16">
    <w:abstractNumId w:val="5"/>
  </w:num>
  <w:num w:numId="17">
    <w:abstractNumId w:val="11"/>
  </w:num>
  <w:num w:numId="18">
    <w:abstractNumId w:val="6"/>
  </w:num>
  <w:num w:numId="19">
    <w:abstractNumId w:val="9"/>
  </w:num>
  <w:num w:numId="20">
    <w:abstractNumId w:val="15"/>
  </w:num>
  <w:num w:numId="21">
    <w:abstractNumId w:val="23"/>
  </w:num>
  <w:num w:numId="22">
    <w:abstractNumId w:val="12"/>
  </w:num>
  <w:num w:numId="23">
    <w:abstractNumId w:val="7"/>
  </w:num>
  <w:num w:numId="24">
    <w:abstractNumId w:val="17"/>
  </w:num>
  <w:num w:numId="25">
    <w:abstractNumId w:val="16"/>
  </w:num>
  <w:num w:numId="26">
    <w:abstractNumId w:val="13"/>
  </w:num>
  <w:num w:numId="27">
    <w:abstractNumId w:val="27"/>
  </w:num>
  <w:num w:numId="28">
    <w:abstractNumId w:val="0"/>
  </w:num>
  <w:num w:numId="29">
    <w:abstractNumId w:val="4"/>
  </w:num>
  <w:num w:numId="3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enta Microsoft">
    <w15:presenceInfo w15:providerId="Windows Live" w15:userId="d17412ee1db9b1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00"/>
    <w:rsid w:val="000127B2"/>
    <w:rsid w:val="00014C07"/>
    <w:rsid w:val="0002193E"/>
    <w:rsid w:val="000273FC"/>
    <w:rsid w:val="000332F5"/>
    <w:rsid w:val="000334EB"/>
    <w:rsid w:val="000357D8"/>
    <w:rsid w:val="00035B5D"/>
    <w:rsid w:val="00037571"/>
    <w:rsid w:val="0004126F"/>
    <w:rsid w:val="000419DA"/>
    <w:rsid w:val="00041AC0"/>
    <w:rsid w:val="000470DE"/>
    <w:rsid w:val="00050346"/>
    <w:rsid w:val="00050694"/>
    <w:rsid w:val="0005473C"/>
    <w:rsid w:val="00056572"/>
    <w:rsid w:val="000614D2"/>
    <w:rsid w:val="00063441"/>
    <w:rsid w:val="00072BFD"/>
    <w:rsid w:val="00075100"/>
    <w:rsid w:val="00080152"/>
    <w:rsid w:val="00080A8A"/>
    <w:rsid w:val="00080AD4"/>
    <w:rsid w:val="00085DDB"/>
    <w:rsid w:val="00090AE2"/>
    <w:rsid w:val="00094EA0"/>
    <w:rsid w:val="00096D76"/>
    <w:rsid w:val="000A0175"/>
    <w:rsid w:val="000A3259"/>
    <w:rsid w:val="000A4A32"/>
    <w:rsid w:val="000A4C4F"/>
    <w:rsid w:val="000B187C"/>
    <w:rsid w:val="000B1C92"/>
    <w:rsid w:val="000B1DF3"/>
    <w:rsid w:val="000B7A49"/>
    <w:rsid w:val="000C13D6"/>
    <w:rsid w:val="000C3FDE"/>
    <w:rsid w:val="000C7C9E"/>
    <w:rsid w:val="000D03FB"/>
    <w:rsid w:val="000D28D8"/>
    <w:rsid w:val="000D41B3"/>
    <w:rsid w:val="000D4C20"/>
    <w:rsid w:val="000E0B66"/>
    <w:rsid w:val="000E1AF1"/>
    <w:rsid w:val="000E3372"/>
    <w:rsid w:val="000F30D4"/>
    <w:rsid w:val="000F3B6C"/>
    <w:rsid w:val="000F59B1"/>
    <w:rsid w:val="001000BD"/>
    <w:rsid w:val="001042A1"/>
    <w:rsid w:val="00104587"/>
    <w:rsid w:val="001067EB"/>
    <w:rsid w:val="00110864"/>
    <w:rsid w:val="00112D68"/>
    <w:rsid w:val="00116F87"/>
    <w:rsid w:val="001236A9"/>
    <w:rsid w:val="00125C99"/>
    <w:rsid w:val="00136E5B"/>
    <w:rsid w:val="0014088E"/>
    <w:rsid w:val="00141BBD"/>
    <w:rsid w:val="00142268"/>
    <w:rsid w:val="00142A5B"/>
    <w:rsid w:val="0014350A"/>
    <w:rsid w:val="00143D99"/>
    <w:rsid w:val="0014544D"/>
    <w:rsid w:val="00146726"/>
    <w:rsid w:val="001469EA"/>
    <w:rsid w:val="0015640A"/>
    <w:rsid w:val="001604E9"/>
    <w:rsid w:val="00162B04"/>
    <w:rsid w:val="00163369"/>
    <w:rsid w:val="00167BA3"/>
    <w:rsid w:val="00167CE7"/>
    <w:rsid w:val="00176CE0"/>
    <w:rsid w:val="0018116F"/>
    <w:rsid w:val="0018673A"/>
    <w:rsid w:val="0019799F"/>
    <w:rsid w:val="001C19AD"/>
    <w:rsid w:val="001C27E7"/>
    <w:rsid w:val="001C71B7"/>
    <w:rsid w:val="001C7EED"/>
    <w:rsid w:val="001D1A56"/>
    <w:rsid w:val="001D1C81"/>
    <w:rsid w:val="001E4226"/>
    <w:rsid w:val="001F1D71"/>
    <w:rsid w:val="001F2A77"/>
    <w:rsid w:val="001F2DEE"/>
    <w:rsid w:val="001F6D27"/>
    <w:rsid w:val="001F7465"/>
    <w:rsid w:val="002023DF"/>
    <w:rsid w:val="00202E73"/>
    <w:rsid w:val="0022600C"/>
    <w:rsid w:val="00230FCB"/>
    <w:rsid w:val="002334D3"/>
    <w:rsid w:val="00233B8C"/>
    <w:rsid w:val="002342D4"/>
    <w:rsid w:val="00240608"/>
    <w:rsid w:val="00243C7F"/>
    <w:rsid w:val="0024446C"/>
    <w:rsid w:val="0024466D"/>
    <w:rsid w:val="00246F5C"/>
    <w:rsid w:val="00250A0B"/>
    <w:rsid w:val="00252908"/>
    <w:rsid w:val="002530EB"/>
    <w:rsid w:val="00255960"/>
    <w:rsid w:val="002571D4"/>
    <w:rsid w:val="002625EF"/>
    <w:rsid w:val="00262AFC"/>
    <w:rsid w:val="002634B5"/>
    <w:rsid w:val="002700D8"/>
    <w:rsid w:val="00271053"/>
    <w:rsid w:val="00273BB9"/>
    <w:rsid w:val="002774FF"/>
    <w:rsid w:val="00280088"/>
    <w:rsid w:val="0028774C"/>
    <w:rsid w:val="00290546"/>
    <w:rsid w:val="00296E2B"/>
    <w:rsid w:val="00297AF2"/>
    <w:rsid w:val="002A3D9F"/>
    <w:rsid w:val="002A7A05"/>
    <w:rsid w:val="002A7A7A"/>
    <w:rsid w:val="002B650D"/>
    <w:rsid w:val="002B6AE4"/>
    <w:rsid w:val="002C1516"/>
    <w:rsid w:val="002D067F"/>
    <w:rsid w:val="002D2A02"/>
    <w:rsid w:val="002E101E"/>
    <w:rsid w:val="002E2FC9"/>
    <w:rsid w:val="002F2457"/>
    <w:rsid w:val="002F2C89"/>
    <w:rsid w:val="002F36C2"/>
    <w:rsid w:val="002F42D6"/>
    <w:rsid w:val="00300CCF"/>
    <w:rsid w:val="003067DC"/>
    <w:rsid w:val="00312055"/>
    <w:rsid w:val="00313FFE"/>
    <w:rsid w:val="00314C98"/>
    <w:rsid w:val="00324EB0"/>
    <w:rsid w:val="003273EE"/>
    <w:rsid w:val="00330B28"/>
    <w:rsid w:val="003329FA"/>
    <w:rsid w:val="003379FD"/>
    <w:rsid w:val="003420A1"/>
    <w:rsid w:val="00356D3E"/>
    <w:rsid w:val="00366196"/>
    <w:rsid w:val="00367AB2"/>
    <w:rsid w:val="00390220"/>
    <w:rsid w:val="003A2688"/>
    <w:rsid w:val="003A56EA"/>
    <w:rsid w:val="003B23DA"/>
    <w:rsid w:val="003B389F"/>
    <w:rsid w:val="003B5463"/>
    <w:rsid w:val="003B6574"/>
    <w:rsid w:val="003C68B4"/>
    <w:rsid w:val="003E0BEB"/>
    <w:rsid w:val="003E18E6"/>
    <w:rsid w:val="003F23A1"/>
    <w:rsid w:val="003F34FB"/>
    <w:rsid w:val="00402ADF"/>
    <w:rsid w:val="00405D84"/>
    <w:rsid w:val="00413154"/>
    <w:rsid w:val="00413F01"/>
    <w:rsid w:val="00417AF2"/>
    <w:rsid w:val="00432821"/>
    <w:rsid w:val="0043433A"/>
    <w:rsid w:val="0044160E"/>
    <w:rsid w:val="004537BC"/>
    <w:rsid w:val="00454D4A"/>
    <w:rsid w:val="00461812"/>
    <w:rsid w:val="004640FD"/>
    <w:rsid w:val="00464280"/>
    <w:rsid w:val="00473AF7"/>
    <w:rsid w:val="00475937"/>
    <w:rsid w:val="004765F0"/>
    <w:rsid w:val="004814B4"/>
    <w:rsid w:val="00483D87"/>
    <w:rsid w:val="0048572A"/>
    <w:rsid w:val="00491F80"/>
    <w:rsid w:val="00493D04"/>
    <w:rsid w:val="004965A5"/>
    <w:rsid w:val="004A2E57"/>
    <w:rsid w:val="004A4408"/>
    <w:rsid w:val="004C147E"/>
    <w:rsid w:val="004C1B71"/>
    <w:rsid w:val="004C3358"/>
    <w:rsid w:val="004D54E9"/>
    <w:rsid w:val="004D7B4D"/>
    <w:rsid w:val="004E3156"/>
    <w:rsid w:val="004E3EA4"/>
    <w:rsid w:val="004E4BBC"/>
    <w:rsid w:val="004E4DE2"/>
    <w:rsid w:val="004E51E0"/>
    <w:rsid w:val="004E6E59"/>
    <w:rsid w:val="004F2CDD"/>
    <w:rsid w:val="004F384A"/>
    <w:rsid w:val="005014DF"/>
    <w:rsid w:val="0050156B"/>
    <w:rsid w:val="00504CF1"/>
    <w:rsid w:val="0051509B"/>
    <w:rsid w:val="00517B31"/>
    <w:rsid w:val="00520EBA"/>
    <w:rsid w:val="00521412"/>
    <w:rsid w:val="00532EF6"/>
    <w:rsid w:val="005378CD"/>
    <w:rsid w:val="00537CB9"/>
    <w:rsid w:val="00543AA4"/>
    <w:rsid w:val="005533C8"/>
    <w:rsid w:val="00561EB8"/>
    <w:rsid w:val="0056337B"/>
    <w:rsid w:val="00564154"/>
    <w:rsid w:val="00565103"/>
    <w:rsid w:val="00567AD7"/>
    <w:rsid w:val="00573D5B"/>
    <w:rsid w:val="005773FF"/>
    <w:rsid w:val="00580364"/>
    <w:rsid w:val="00585242"/>
    <w:rsid w:val="00585907"/>
    <w:rsid w:val="00590D7B"/>
    <w:rsid w:val="005A79CE"/>
    <w:rsid w:val="005B14FD"/>
    <w:rsid w:val="005B4058"/>
    <w:rsid w:val="005B5116"/>
    <w:rsid w:val="005B5D24"/>
    <w:rsid w:val="005C0D57"/>
    <w:rsid w:val="005D0C96"/>
    <w:rsid w:val="005D1B64"/>
    <w:rsid w:val="005D1E95"/>
    <w:rsid w:val="005D3FE0"/>
    <w:rsid w:val="005D7C8F"/>
    <w:rsid w:val="005E1D13"/>
    <w:rsid w:val="005E25FB"/>
    <w:rsid w:val="005E5314"/>
    <w:rsid w:val="005E697B"/>
    <w:rsid w:val="005F72A3"/>
    <w:rsid w:val="006067CB"/>
    <w:rsid w:val="0061440B"/>
    <w:rsid w:val="00620D35"/>
    <w:rsid w:val="0062279B"/>
    <w:rsid w:val="00634E7D"/>
    <w:rsid w:val="00640287"/>
    <w:rsid w:val="0064072A"/>
    <w:rsid w:val="006408F2"/>
    <w:rsid w:val="006456EA"/>
    <w:rsid w:val="00650475"/>
    <w:rsid w:val="00651B8F"/>
    <w:rsid w:val="00652B93"/>
    <w:rsid w:val="0065500E"/>
    <w:rsid w:val="0066042B"/>
    <w:rsid w:val="006658E1"/>
    <w:rsid w:val="00667900"/>
    <w:rsid w:val="00675BB3"/>
    <w:rsid w:val="006829D9"/>
    <w:rsid w:val="00694043"/>
    <w:rsid w:val="006A06E7"/>
    <w:rsid w:val="006A2267"/>
    <w:rsid w:val="006A789A"/>
    <w:rsid w:val="006B568A"/>
    <w:rsid w:val="006B6155"/>
    <w:rsid w:val="006C36A5"/>
    <w:rsid w:val="006D0D27"/>
    <w:rsid w:val="006D1A14"/>
    <w:rsid w:val="006E5C62"/>
    <w:rsid w:val="006E5F15"/>
    <w:rsid w:val="006F1D09"/>
    <w:rsid w:val="006F2733"/>
    <w:rsid w:val="00701396"/>
    <w:rsid w:val="00716454"/>
    <w:rsid w:val="00717052"/>
    <w:rsid w:val="00722864"/>
    <w:rsid w:val="00723404"/>
    <w:rsid w:val="007302C8"/>
    <w:rsid w:val="00730644"/>
    <w:rsid w:val="00730652"/>
    <w:rsid w:val="00733428"/>
    <w:rsid w:val="00737BA5"/>
    <w:rsid w:val="007440D3"/>
    <w:rsid w:val="00751D67"/>
    <w:rsid w:val="00755B04"/>
    <w:rsid w:val="00755B1D"/>
    <w:rsid w:val="00757FE7"/>
    <w:rsid w:val="00764596"/>
    <w:rsid w:val="00772883"/>
    <w:rsid w:val="00773ADF"/>
    <w:rsid w:val="007744E7"/>
    <w:rsid w:val="0077466D"/>
    <w:rsid w:val="00775C44"/>
    <w:rsid w:val="0078646E"/>
    <w:rsid w:val="0078736C"/>
    <w:rsid w:val="00790AC1"/>
    <w:rsid w:val="007B072F"/>
    <w:rsid w:val="007B6062"/>
    <w:rsid w:val="007D2458"/>
    <w:rsid w:val="007D3695"/>
    <w:rsid w:val="007E6454"/>
    <w:rsid w:val="007F20BF"/>
    <w:rsid w:val="007F28E5"/>
    <w:rsid w:val="007F2EF3"/>
    <w:rsid w:val="008102FE"/>
    <w:rsid w:val="00823412"/>
    <w:rsid w:val="00825E94"/>
    <w:rsid w:val="0082631E"/>
    <w:rsid w:val="00834624"/>
    <w:rsid w:val="00846B54"/>
    <w:rsid w:val="008475DF"/>
    <w:rsid w:val="00851FE4"/>
    <w:rsid w:val="00852D50"/>
    <w:rsid w:val="00853B39"/>
    <w:rsid w:val="00853D2D"/>
    <w:rsid w:val="008541A2"/>
    <w:rsid w:val="00861094"/>
    <w:rsid w:val="00861CD8"/>
    <w:rsid w:val="00866D2D"/>
    <w:rsid w:val="00866E4C"/>
    <w:rsid w:val="00873CD4"/>
    <w:rsid w:val="00885265"/>
    <w:rsid w:val="00890228"/>
    <w:rsid w:val="008906A9"/>
    <w:rsid w:val="008A4082"/>
    <w:rsid w:val="008A4F49"/>
    <w:rsid w:val="008B30E0"/>
    <w:rsid w:val="008B5032"/>
    <w:rsid w:val="008C0A47"/>
    <w:rsid w:val="008C1844"/>
    <w:rsid w:val="008C1A51"/>
    <w:rsid w:val="008C2C81"/>
    <w:rsid w:val="008D58E5"/>
    <w:rsid w:val="008E08E4"/>
    <w:rsid w:val="008E6A09"/>
    <w:rsid w:val="008F65FF"/>
    <w:rsid w:val="0090732A"/>
    <w:rsid w:val="00923004"/>
    <w:rsid w:val="00923E3B"/>
    <w:rsid w:val="009251B4"/>
    <w:rsid w:val="00931713"/>
    <w:rsid w:val="00932F96"/>
    <w:rsid w:val="00933BBA"/>
    <w:rsid w:val="00935471"/>
    <w:rsid w:val="00942F06"/>
    <w:rsid w:val="00943852"/>
    <w:rsid w:val="00950FD8"/>
    <w:rsid w:val="009535A9"/>
    <w:rsid w:val="00953E44"/>
    <w:rsid w:val="00964EBB"/>
    <w:rsid w:val="00971B35"/>
    <w:rsid w:val="00977602"/>
    <w:rsid w:val="00986850"/>
    <w:rsid w:val="00990326"/>
    <w:rsid w:val="009A4368"/>
    <w:rsid w:val="009A470C"/>
    <w:rsid w:val="009A546A"/>
    <w:rsid w:val="009B079D"/>
    <w:rsid w:val="009C0D51"/>
    <w:rsid w:val="009C309E"/>
    <w:rsid w:val="009C3656"/>
    <w:rsid w:val="009C5B83"/>
    <w:rsid w:val="009C6FB3"/>
    <w:rsid w:val="009D0D0F"/>
    <w:rsid w:val="009D6AAB"/>
    <w:rsid w:val="009E0025"/>
    <w:rsid w:val="009E4A77"/>
    <w:rsid w:val="009F1AA7"/>
    <w:rsid w:val="009F65F1"/>
    <w:rsid w:val="00A04C97"/>
    <w:rsid w:val="00A153E1"/>
    <w:rsid w:val="00A17F70"/>
    <w:rsid w:val="00A20254"/>
    <w:rsid w:val="00A24EC4"/>
    <w:rsid w:val="00A26D1A"/>
    <w:rsid w:val="00A271D0"/>
    <w:rsid w:val="00A3194C"/>
    <w:rsid w:val="00A32A55"/>
    <w:rsid w:val="00A42D3D"/>
    <w:rsid w:val="00A455D4"/>
    <w:rsid w:val="00A47922"/>
    <w:rsid w:val="00A52903"/>
    <w:rsid w:val="00A541D8"/>
    <w:rsid w:val="00A54546"/>
    <w:rsid w:val="00A55AAC"/>
    <w:rsid w:val="00A60C70"/>
    <w:rsid w:val="00A65CBC"/>
    <w:rsid w:val="00A667AB"/>
    <w:rsid w:val="00A81C33"/>
    <w:rsid w:val="00A81EE8"/>
    <w:rsid w:val="00A82782"/>
    <w:rsid w:val="00A87EC4"/>
    <w:rsid w:val="00A92DBE"/>
    <w:rsid w:val="00A9780F"/>
    <w:rsid w:val="00AA59C7"/>
    <w:rsid w:val="00AB6CC5"/>
    <w:rsid w:val="00AD00B8"/>
    <w:rsid w:val="00AD64E4"/>
    <w:rsid w:val="00AD7FC3"/>
    <w:rsid w:val="00AE3508"/>
    <w:rsid w:val="00AE6D77"/>
    <w:rsid w:val="00B07CBE"/>
    <w:rsid w:val="00B12C2E"/>
    <w:rsid w:val="00B12CF7"/>
    <w:rsid w:val="00B163A8"/>
    <w:rsid w:val="00B21135"/>
    <w:rsid w:val="00B22589"/>
    <w:rsid w:val="00B35797"/>
    <w:rsid w:val="00B42622"/>
    <w:rsid w:val="00B52198"/>
    <w:rsid w:val="00B540AA"/>
    <w:rsid w:val="00B5571A"/>
    <w:rsid w:val="00B55974"/>
    <w:rsid w:val="00B560CE"/>
    <w:rsid w:val="00B57FC1"/>
    <w:rsid w:val="00B602E3"/>
    <w:rsid w:val="00B62570"/>
    <w:rsid w:val="00B63CB0"/>
    <w:rsid w:val="00B65B5F"/>
    <w:rsid w:val="00B70444"/>
    <w:rsid w:val="00B72DEB"/>
    <w:rsid w:val="00B74B52"/>
    <w:rsid w:val="00B76BB2"/>
    <w:rsid w:val="00B81A4F"/>
    <w:rsid w:val="00B874DE"/>
    <w:rsid w:val="00B91710"/>
    <w:rsid w:val="00BA0CC9"/>
    <w:rsid w:val="00BA2363"/>
    <w:rsid w:val="00BA349E"/>
    <w:rsid w:val="00BA4E76"/>
    <w:rsid w:val="00BB0368"/>
    <w:rsid w:val="00BB24E0"/>
    <w:rsid w:val="00BB4C5E"/>
    <w:rsid w:val="00BC26DB"/>
    <w:rsid w:val="00BD03B4"/>
    <w:rsid w:val="00BD06BB"/>
    <w:rsid w:val="00BD2B8B"/>
    <w:rsid w:val="00BE3235"/>
    <w:rsid w:val="00BE713F"/>
    <w:rsid w:val="00C0126D"/>
    <w:rsid w:val="00C10607"/>
    <w:rsid w:val="00C15078"/>
    <w:rsid w:val="00C22342"/>
    <w:rsid w:val="00C2272D"/>
    <w:rsid w:val="00C229B2"/>
    <w:rsid w:val="00C245B3"/>
    <w:rsid w:val="00C254AB"/>
    <w:rsid w:val="00C27D50"/>
    <w:rsid w:val="00C3649C"/>
    <w:rsid w:val="00C371B5"/>
    <w:rsid w:val="00C40DAD"/>
    <w:rsid w:val="00C4194A"/>
    <w:rsid w:val="00C44DF1"/>
    <w:rsid w:val="00C4516A"/>
    <w:rsid w:val="00C45B65"/>
    <w:rsid w:val="00C562AF"/>
    <w:rsid w:val="00C703FA"/>
    <w:rsid w:val="00C714B0"/>
    <w:rsid w:val="00C7371D"/>
    <w:rsid w:val="00C7561C"/>
    <w:rsid w:val="00C77221"/>
    <w:rsid w:val="00C77361"/>
    <w:rsid w:val="00C86AB3"/>
    <w:rsid w:val="00C91B82"/>
    <w:rsid w:val="00C92B1E"/>
    <w:rsid w:val="00C93D12"/>
    <w:rsid w:val="00C94C45"/>
    <w:rsid w:val="00C97EA8"/>
    <w:rsid w:val="00C97EAC"/>
    <w:rsid w:val="00CA1614"/>
    <w:rsid w:val="00CA1C0C"/>
    <w:rsid w:val="00CA20E1"/>
    <w:rsid w:val="00CA3D00"/>
    <w:rsid w:val="00CA47B5"/>
    <w:rsid w:val="00CA6756"/>
    <w:rsid w:val="00CA679B"/>
    <w:rsid w:val="00CB0AC0"/>
    <w:rsid w:val="00CC46EF"/>
    <w:rsid w:val="00CE0DD8"/>
    <w:rsid w:val="00CE105E"/>
    <w:rsid w:val="00CE3E12"/>
    <w:rsid w:val="00CE6C12"/>
    <w:rsid w:val="00CE7C68"/>
    <w:rsid w:val="00D03223"/>
    <w:rsid w:val="00D14F4D"/>
    <w:rsid w:val="00D16F58"/>
    <w:rsid w:val="00D2523C"/>
    <w:rsid w:val="00D2567F"/>
    <w:rsid w:val="00D30BEA"/>
    <w:rsid w:val="00D3224A"/>
    <w:rsid w:val="00D32EB4"/>
    <w:rsid w:val="00D342BE"/>
    <w:rsid w:val="00D43DC4"/>
    <w:rsid w:val="00D61B96"/>
    <w:rsid w:val="00D62346"/>
    <w:rsid w:val="00D6375C"/>
    <w:rsid w:val="00D6791A"/>
    <w:rsid w:val="00D702A7"/>
    <w:rsid w:val="00D7158C"/>
    <w:rsid w:val="00D7170E"/>
    <w:rsid w:val="00D73256"/>
    <w:rsid w:val="00D8218B"/>
    <w:rsid w:val="00D838E0"/>
    <w:rsid w:val="00D849EE"/>
    <w:rsid w:val="00D95043"/>
    <w:rsid w:val="00D955D4"/>
    <w:rsid w:val="00D95B0E"/>
    <w:rsid w:val="00D974C1"/>
    <w:rsid w:val="00DA04D9"/>
    <w:rsid w:val="00DA50AB"/>
    <w:rsid w:val="00DB4EAE"/>
    <w:rsid w:val="00DB6EF7"/>
    <w:rsid w:val="00DC372C"/>
    <w:rsid w:val="00DC6339"/>
    <w:rsid w:val="00DC7D7F"/>
    <w:rsid w:val="00DD0569"/>
    <w:rsid w:val="00DD5B77"/>
    <w:rsid w:val="00DE7DBB"/>
    <w:rsid w:val="00DF0633"/>
    <w:rsid w:val="00DF13A5"/>
    <w:rsid w:val="00DF3E8A"/>
    <w:rsid w:val="00DF6D6A"/>
    <w:rsid w:val="00E04443"/>
    <w:rsid w:val="00E04FD9"/>
    <w:rsid w:val="00E11375"/>
    <w:rsid w:val="00E12386"/>
    <w:rsid w:val="00E205FD"/>
    <w:rsid w:val="00E248AE"/>
    <w:rsid w:val="00E2799D"/>
    <w:rsid w:val="00E3042B"/>
    <w:rsid w:val="00E40EA4"/>
    <w:rsid w:val="00E473D5"/>
    <w:rsid w:val="00E616DC"/>
    <w:rsid w:val="00E6471A"/>
    <w:rsid w:val="00E65C42"/>
    <w:rsid w:val="00E7565E"/>
    <w:rsid w:val="00E76096"/>
    <w:rsid w:val="00E82773"/>
    <w:rsid w:val="00E82CCB"/>
    <w:rsid w:val="00E84367"/>
    <w:rsid w:val="00E844BA"/>
    <w:rsid w:val="00E84E9A"/>
    <w:rsid w:val="00E85A17"/>
    <w:rsid w:val="00E90355"/>
    <w:rsid w:val="00E93815"/>
    <w:rsid w:val="00E975FE"/>
    <w:rsid w:val="00EA3905"/>
    <w:rsid w:val="00EA39BC"/>
    <w:rsid w:val="00EA411E"/>
    <w:rsid w:val="00EA58B6"/>
    <w:rsid w:val="00EA60BA"/>
    <w:rsid w:val="00EA6D85"/>
    <w:rsid w:val="00EB3D4C"/>
    <w:rsid w:val="00EB6DCD"/>
    <w:rsid w:val="00EB7A3D"/>
    <w:rsid w:val="00ED1623"/>
    <w:rsid w:val="00ED5525"/>
    <w:rsid w:val="00ED5C1F"/>
    <w:rsid w:val="00EF31B7"/>
    <w:rsid w:val="00F06420"/>
    <w:rsid w:val="00F06BD5"/>
    <w:rsid w:val="00F0769F"/>
    <w:rsid w:val="00F07B73"/>
    <w:rsid w:val="00F12319"/>
    <w:rsid w:val="00F13E77"/>
    <w:rsid w:val="00F217C6"/>
    <w:rsid w:val="00F21D2F"/>
    <w:rsid w:val="00F21FF9"/>
    <w:rsid w:val="00F33088"/>
    <w:rsid w:val="00F347CD"/>
    <w:rsid w:val="00F4031A"/>
    <w:rsid w:val="00F433B4"/>
    <w:rsid w:val="00F4402A"/>
    <w:rsid w:val="00F443F8"/>
    <w:rsid w:val="00F44468"/>
    <w:rsid w:val="00F50798"/>
    <w:rsid w:val="00F53A02"/>
    <w:rsid w:val="00F56977"/>
    <w:rsid w:val="00F5796A"/>
    <w:rsid w:val="00F6014E"/>
    <w:rsid w:val="00F63C73"/>
    <w:rsid w:val="00F7327C"/>
    <w:rsid w:val="00F75262"/>
    <w:rsid w:val="00F75B07"/>
    <w:rsid w:val="00F8561C"/>
    <w:rsid w:val="00F90140"/>
    <w:rsid w:val="00F97ACC"/>
    <w:rsid w:val="00FA1378"/>
    <w:rsid w:val="00FA4C4E"/>
    <w:rsid w:val="00FA6103"/>
    <w:rsid w:val="00FA620A"/>
    <w:rsid w:val="00FA7C4A"/>
    <w:rsid w:val="00FB5553"/>
    <w:rsid w:val="00FB5C5C"/>
    <w:rsid w:val="00FB7080"/>
    <w:rsid w:val="00FD30A0"/>
    <w:rsid w:val="00FD360B"/>
    <w:rsid w:val="00FD3F67"/>
    <w:rsid w:val="00FD4D71"/>
    <w:rsid w:val="00FD5292"/>
    <w:rsid w:val="00FF21A5"/>
    <w:rsid w:val="00FF34C3"/>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5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Garamond" w:hAnsi="Garamond"/>
      <w:b/>
      <w:u w:val="single"/>
    </w:rPr>
  </w:style>
  <w:style w:type="paragraph" w:styleId="Heading2">
    <w:name w:val="heading 2"/>
    <w:basedOn w:val="Normal"/>
    <w:next w:val="Normal"/>
    <w:qFormat/>
    <w:pPr>
      <w:keepNext/>
      <w:jc w:val="center"/>
      <w:outlineLvl w:val="1"/>
    </w:pPr>
    <w:rPr>
      <w:rFonts w:ascii="Garamond" w:hAnsi="Garamond"/>
      <w:b/>
    </w:rPr>
  </w:style>
  <w:style w:type="paragraph" w:styleId="Heading3">
    <w:name w:val="heading 3"/>
    <w:basedOn w:val="Normal"/>
    <w:next w:val="Normal"/>
    <w:qFormat/>
    <w:pPr>
      <w:keepNext/>
      <w:ind w:left="3720"/>
      <w:jc w:val="right"/>
      <w:outlineLvl w:val="2"/>
    </w:pPr>
    <w:rPr>
      <w:rFonts w:ascii="Garamond" w:hAnsi="Garamond"/>
      <w:b/>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outlineLvl w:val="4"/>
    </w:pPr>
    <w:rPr>
      <w:rFonts w:ascii="Garamond" w:hAnsi="Garamond"/>
      <w:b/>
      <w:bCs/>
    </w:rPr>
  </w:style>
  <w:style w:type="paragraph" w:styleId="Heading6">
    <w:name w:val="heading 6"/>
    <w:basedOn w:val="Normal"/>
    <w:next w:val="Normal"/>
    <w:qFormat/>
    <w:pPr>
      <w:keepNext/>
      <w:outlineLvl w:val="5"/>
    </w:pPr>
    <w:rPr>
      <w:rFonts w:ascii="Garamond" w:hAnsi="Garamond"/>
      <w:u w:val="single"/>
    </w:rPr>
  </w:style>
  <w:style w:type="paragraph" w:styleId="Heading7">
    <w:name w:val="heading 7"/>
    <w:basedOn w:val="Normal"/>
    <w:next w:val="Normal"/>
    <w:qFormat/>
    <w:rsid w:val="00F06BD5"/>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bt"/>
    <w:basedOn w:val="Normal"/>
    <w:link w:val="BodyTextChar"/>
    <w:pPr>
      <w:jc w:val="both"/>
    </w:pPr>
  </w:style>
  <w:style w:type="paragraph" w:styleId="BodyTextIndent">
    <w:name w:val="Body Text Indent"/>
    <w:basedOn w:val="Normal"/>
    <w:pPr>
      <w:ind w:left="1440" w:hanging="1440"/>
      <w:jc w:val="both"/>
    </w:pPr>
    <w:rPr>
      <w:rFonts w:ascii="Garamond" w:hAnsi="Garamond"/>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360"/>
      <w:ind w:left="720" w:hanging="720"/>
      <w:jc w:val="both"/>
    </w:pPr>
    <w:rPr>
      <w:sz w:val="22"/>
    </w:rPr>
  </w:style>
  <w:style w:type="paragraph" w:styleId="BodyTextIndent2">
    <w:name w:val="Body Text Indent 2"/>
    <w:basedOn w:val="Normal"/>
    <w:pPr>
      <w:spacing w:before="360"/>
      <w:ind w:firstLine="2520"/>
      <w:jc w:val="both"/>
    </w:pPr>
    <w:rPr>
      <w:rFonts w:ascii="Garamond" w:hAnsi="Garamond"/>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D0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ody text Char,bt Char"/>
    <w:link w:val="BodyText"/>
    <w:rsid w:val="00EA39BC"/>
    <w:rPr>
      <w:sz w:val="24"/>
      <w:lang w:val="es-AR" w:eastAsia="en-US"/>
    </w:rPr>
  </w:style>
  <w:style w:type="character" w:styleId="Strong">
    <w:name w:val="Strong"/>
    <w:uiPriority w:val="22"/>
    <w:qFormat/>
    <w:rsid w:val="00ED5C1F"/>
    <w:rPr>
      <w:b/>
      <w:bCs/>
    </w:rPr>
  </w:style>
  <w:style w:type="character" w:styleId="Hyperlink">
    <w:name w:val="Hyperlink"/>
    <w:uiPriority w:val="99"/>
    <w:unhideWhenUsed/>
    <w:rsid w:val="00ED5C1F"/>
    <w:rPr>
      <w:color w:val="0000FF"/>
      <w:u w:val="single"/>
    </w:rPr>
  </w:style>
  <w:style w:type="paragraph" w:customStyle="1" w:styleId="TextIndent05">
    <w:name w:val="Text Indent 0.5"/>
    <w:basedOn w:val="Normal"/>
    <w:rsid w:val="00D6791A"/>
    <w:pPr>
      <w:spacing w:after="240"/>
      <w:ind w:firstLine="720"/>
    </w:pPr>
    <w:rPr>
      <w:sz w:val="20"/>
      <w:szCs w:val="18"/>
      <w:lang w:val="en-US"/>
    </w:rPr>
  </w:style>
  <w:style w:type="character" w:customStyle="1" w:styleId="BHTextoCar">
    <w:name w:val="BH Texto Car"/>
    <w:link w:val="BHTexto"/>
    <w:locked/>
    <w:rsid w:val="00B5571A"/>
    <w:rPr>
      <w:lang w:eastAsia="x-none"/>
    </w:rPr>
  </w:style>
  <w:style w:type="paragraph" w:customStyle="1" w:styleId="BHTexto">
    <w:name w:val="BH Texto"/>
    <w:basedOn w:val="Normal"/>
    <w:link w:val="BHTextoCar"/>
    <w:qFormat/>
    <w:rsid w:val="00B5571A"/>
    <w:pPr>
      <w:autoSpaceDE w:val="0"/>
      <w:autoSpaceDN w:val="0"/>
      <w:spacing w:before="120" w:after="120"/>
      <w:jc w:val="both"/>
    </w:pPr>
    <w:rPr>
      <w:sz w:val="20"/>
      <w:lang w:val="x-none" w:eastAsia="x-none"/>
    </w:rPr>
  </w:style>
  <w:style w:type="paragraph" w:styleId="Subtitle">
    <w:name w:val="Subtitle"/>
    <w:basedOn w:val="Normal"/>
    <w:next w:val="Normal"/>
    <w:link w:val="SubtitleChar"/>
    <w:qFormat/>
    <w:rsid w:val="009535A9"/>
    <w:pPr>
      <w:spacing w:after="60"/>
      <w:jc w:val="center"/>
      <w:outlineLvl w:val="1"/>
    </w:pPr>
    <w:rPr>
      <w:rFonts w:ascii="Cambria" w:hAnsi="Cambria"/>
      <w:szCs w:val="24"/>
      <w:lang w:val="x-none"/>
    </w:rPr>
  </w:style>
  <w:style w:type="character" w:customStyle="1" w:styleId="SubtitleChar">
    <w:name w:val="Subtitle Char"/>
    <w:link w:val="Subtitle"/>
    <w:rsid w:val="009535A9"/>
    <w:rPr>
      <w:rFonts w:ascii="Cambria" w:eastAsia="Times New Roman" w:hAnsi="Cambria" w:cs="Times New Roman"/>
      <w:sz w:val="24"/>
      <w:szCs w:val="24"/>
      <w:lang w:eastAsia="en-US"/>
    </w:rPr>
  </w:style>
  <w:style w:type="paragraph" w:styleId="ListParagraph">
    <w:name w:val="List Paragraph"/>
    <w:basedOn w:val="Normal"/>
    <w:uiPriority w:val="34"/>
    <w:qFormat/>
    <w:rsid w:val="006B568A"/>
    <w:pPr>
      <w:ind w:left="708"/>
    </w:pPr>
  </w:style>
  <w:style w:type="paragraph" w:styleId="HTMLPreformatted">
    <w:name w:val="HTML Preformatted"/>
    <w:basedOn w:val="Normal"/>
    <w:link w:val="HTMLPreformattedChar"/>
    <w:uiPriority w:val="99"/>
    <w:unhideWhenUsed/>
    <w:rsid w:val="0030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s-AR"/>
    </w:rPr>
  </w:style>
  <w:style w:type="character" w:customStyle="1" w:styleId="HTMLPreformattedChar">
    <w:name w:val="HTML Preformatted Char"/>
    <w:link w:val="HTMLPreformatted"/>
    <w:uiPriority w:val="99"/>
    <w:rsid w:val="00300CCF"/>
    <w:rPr>
      <w:rFonts w:ascii="Courier New" w:hAnsi="Courier New" w:cs="Courier New"/>
    </w:rPr>
  </w:style>
  <w:style w:type="paragraph" w:customStyle="1" w:styleId="Sangradetextonormal1">
    <w:name w:val="Sangría de texto normal1"/>
    <w:basedOn w:val="Normal"/>
    <w:rsid w:val="005B4058"/>
    <w:pPr>
      <w:spacing w:after="100" w:afterAutospacing="1"/>
      <w:ind w:firstLine="709"/>
      <w:jc w:val="both"/>
    </w:pPr>
    <w:rPr>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Garamond" w:hAnsi="Garamond"/>
      <w:b/>
      <w:u w:val="single"/>
    </w:rPr>
  </w:style>
  <w:style w:type="paragraph" w:styleId="Heading2">
    <w:name w:val="heading 2"/>
    <w:basedOn w:val="Normal"/>
    <w:next w:val="Normal"/>
    <w:qFormat/>
    <w:pPr>
      <w:keepNext/>
      <w:jc w:val="center"/>
      <w:outlineLvl w:val="1"/>
    </w:pPr>
    <w:rPr>
      <w:rFonts w:ascii="Garamond" w:hAnsi="Garamond"/>
      <w:b/>
    </w:rPr>
  </w:style>
  <w:style w:type="paragraph" w:styleId="Heading3">
    <w:name w:val="heading 3"/>
    <w:basedOn w:val="Normal"/>
    <w:next w:val="Normal"/>
    <w:qFormat/>
    <w:pPr>
      <w:keepNext/>
      <w:ind w:left="3720"/>
      <w:jc w:val="right"/>
      <w:outlineLvl w:val="2"/>
    </w:pPr>
    <w:rPr>
      <w:rFonts w:ascii="Garamond" w:hAnsi="Garamond"/>
      <w:b/>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outlineLvl w:val="4"/>
    </w:pPr>
    <w:rPr>
      <w:rFonts w:ascii="Garamond" w:hAnsi="Garamond"/>
      <w:b/>
      <w:bCs/>
    </w:rPr>
  </w:style>
  <w:style w:type="paragraph" w:styleId="Heading6">
    <w:name w:val="heading 6"/>
    <w:basedOn w:val="Normal"/>
    <w:next w:val="Normal"/>
    <w:qFormat/>
    <w:pPr>
      <w:keepNext/>
      <w:outlineLvl w:val="5"/>
    </w:pPr>
    <w:rPr>
      <w:rFonts w:ascii="Garamond" w:hAnsi="Garamond"/>
      <w:u w:val="single"/>
    </w:rPr>
  </w:style>
  <w:style w:type="paragraph" w:styleId="Heading7">
    <w:name w:val="heading 7"/>
    <w:basedOn w:val="Normal"/>
    <w:next w:val="Normal"/>
    <w:qFormat/>
    <w:rsid w:val="00F06BD5"/>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bt"/>
    <w:basedOn w:val="Normal"/>
    <w:link w:val="BodyTextChar"/>
    <w:pPr>
      <w:jc w:val="both"/>
    </w:pPr>
  </w:style>
  <w:style w:type="paragraph" w:styleId="BodyTextIndent">
    <w:name w:val="Body Text Indent"/>
    <w:basedOn w:val="Normal"/>
    <w:pPr>
      <w:ind w:left="1440" w:hanging="1440"/>
      <w:jc w:val="both"/>
    </w:pPr>
    <w:rPr>
      <w:rFonts w:ascii="Garamond" w:hAnsi="Garamond"/>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spacing w:before="360"/>
      <w:ind w:left="720" w:hanging="720"/>
      <w:jc w:val="both"/>
    </w:pPr>
    <w:rPr>
      <w:sz w:val="22"/>
    </w:rPr>
  </w:style>
  <w:style w:type="paragraph" w:styleId="BodyTextIndent2">
    <w:name w:val="Body Text Indent 2"/>
    <w:basedOn w:val="Normal"/>
    <w:pPr>
      <w:spacing w:before="360"/>
      <w:ind w:firstLine="2520"/>
      <w:jc w:val="both"/>
    </w:pPr>
    <w:rPr>
      <w:rFonts w:ascii="Garamond" w:hAnsi="Garamond"/>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D0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ody text Char,bt Char"/>
    <w:link w:val="BodyText"/>
    <w:rsid w:val="00EA39BC"/>
    <w:rPr>
      <w:sz w:val="24"/>
      <w:lang w:val="es-AR" w:eastAsia="en-US"/>
    </w:rPr>
  </w:style>
  <w:style w:type="character" w:styleId="Strong">
    <w:name w:val="Strong"/>
    <w:uiPriority w:val="22"/>
    <w:qFormat/>
    <w:rsid w:val="00ED5C1F"/>
    <w:rPr>
      <w:b/>
      <w:bCs/>
    </w:rPr>
  </w:style>
  <w:style w:type="character" w:styleId="Hyperlink">
    <w:name w:val="Hyperlink"/>
    <w:uiPriority w:val="99"/>
    <w:unhideWhenUsed/>
    <w:rsid w:val="00ED5C1F"/>
    <w:rPr>
      <w:color w:val="0000FF"/>
      <w:u w:val="single"/>
    </w:rPr>
  </w:style>
  <w:style w:type="paragraph" w:customStyle="1" w:styleId="TextIndent05">
    <w:name w:val="Text Indent 0.5"/>
    <w:basedOn w:val="Normal"/>
    <w:rsid w:val="00D6791A"/>
    <w:pPr>
      <w:spacing w:after="240"/>
      <w:ind w:firstLine="720"/>
    </w:pPr>
    <w:rPr>
      <w:sz w:val="20"/>
      <w:szCs w:val="18"/>
      <w:lang w:val="en-US"/>
    </w:rPr>
  </w:style>
  <w:style w:type="character" w:customStyle="1" w:styleId="BHTextoCar">
    <w:name w:val="BH Texto Car"/>
    <w:link w:val="BHTexto"/>
    <w:locked/>
    <w:rsid w:val="00B5571A"/>
    <w:rPr>
      <w:lang w:eastAsia="x-none"/>
    </w:rPr>
  </w:style>
  <w:style w:type="paragraph" w:customStyle="1" w:styleId="BHTexto">
    <w:name w:val="BH Texto"/>
    <w:basedOn w:val="Normal"/>
    <w:link w:val="BHTextoCar"/>
    <w:qFormat/>
    <w:rsid w:val="00B5571A"/>
    <w:pPr>
      <w:autoSpaceDE w:val="0"/>
      <w:autoSpaceDN w:val="0"/>
      <w:spacing w:before="120" w:after="120"/>
      <w:jc w:val="both"/>
    </w:pPr>
    <w:rPr>
      <w:sz w:val="20"/>
      <w:lang w:val="x-none" w:eastAsia="x-none"/>
    </w:rPr>
  </w:style>
  <w:style w:type="paragraph" w:styleId="Subtitle">
    <w:name w:val="Subtitle"/>
    <w:basedOn w:val="Normal"/>
    <w:next w:val="Normal"/>
    <w:link w:val="SubtitleChar"/>
    <w:qFormat/>
    <w:rsid w:val="009535A9"/>
    <w:pPr>
      <w:spacing w:after="60"/>
      <w:jc w:val="center"/>
      <w:outlineLvl w:val="1"/>
    </w:pPr>
    <w:rPr>
      <w:rFonts w:ascii="Cambria" w:hAnsi="Cambria"/>
      <w:szCs w:val="24"/>
      <w:lang w:val="x-none"/>
    </w:rPr>
  </w:style>
  <w:style w:type="character" w:customStyle="1" w:styleId="SubtitleChar">
    <w:name w:val="Subtitle Char"/>
    <w:link w:val="Subtitle"/>
    <w:rsid w:val="009535A9"/>
    <w:rPr>
      <w:rFonts w:ascii="Cambria" w:eastAsia="Times New Roman" w:hAnsi="Cambria" w:cs="Times New Roman"/>
      <w:sz w:val="24"/>
      <w:szCs w:val="24"/>
      <w:lang w:eastAsia="en-US"/>
    </w:rPr>
  </w:style>
  <w:style w:type="paragraph" w:styleId="ListParagraph">
    <w:name w:val="List Paragraph"/>
    <w:basedOn w:val="Normal"/>
    <w:uiPriority w:val="34"/>
    <w:qFormat/>
    <w:rsid w:val="006B568A"/>
    <w:pPr>
      <w:ind w:left="708"/>
    </w:pPr>
  </w:style>
  <w:style w:type="paragraph" w:styleId="HTMLPreformatted">
    <w:name w:val="HTML Preformatted"/>
    <w:basedOn w:val="Normal"/>
    <w:link w:val="HTMLPreformattedChar"/>
    <w:uiPriority w:val="99"/>
    <w:unhideWhenUsed/>
    <w:rsid w:val="0030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s-AR"/>
    </w:rPr>
  </w:style>
  <w:style w:type="character" w:customStyle="1" w:styleId="HTMLPreformattedChar">
    <w:name w:val="HTML Preformatted Char"/>
    <w:link w:val="HTMLPreformatted"/>
    <w:uiPriority w:val="99"/>
    <w:rsid w:val="00300CCF"/>
    <w:rPr>
      <w:rFonts w:ascii="Courier New" w:hAnsi="Courier New" w:cs="Courier New"/>
    </w:rPr>
  </w:style>
  <w:style w:type="paragraph" w:customStyle="1" w:styleId="Sangradetextonormal1">
    <w:name w:val="Sangría de texto normal1"/>
    <w:basedOn w:val="Normal"/>
    <w:rsid w:val="005B4058"/>
    <w:pPr>
      <w:spacing w:after="100" w:afterAutospacing="1"/>
      <w:ind w:firstLine="709"/>
      <w:jc w:val="both"/>
    </w:pPr>
    <w:rPr>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0916">
      <w:bodyDiv w:val="1"/>
      <w:marLeft w:val="0"/>
      <w:marRight w:val="0"/>
      <w:marTop w:val="0"/>
      <w:marBottom w:val="0"/>
      <w:divBdr>
        <w:top w:val="none" w:sz="0" w:space="0" w:color="auto"/>
        <w:left w:val="none" w:sz="0" w:space="0" w:color="auto"/>
        <w:bottom w:val="none" w:sz="0" w:space="0" w:color="auto"/>
        <w:right w:val="none" w:sz="0" w:space="0" w:color="auto"/>
      </w:divBdr>
    </w:div>
    <w:div w:id="206256318">
      <w:bodyDiv w:val="1"/>
      <w:marLeft w:val="0"/>
      <w:marRight w:val="0"/>
      <w:marTop w:val="0"/>
      <w:marBottom w:val="0"/>
      <w:divBdr>
        <w:top w:val="none" w:sz="0" w:space="0" w:color="auto"/>
        <w:left w:val="none" w:sz="0" w:space="0" w:color="auto"/>
        <w:bottom w:val="none" w:sz="0" w:space="0" w:color="auto"/>
        <w:right w:val="none" w:sz="0" w:space="0" w:color="auto"/>
      </w:divBdr>
    </w:div>
    <w:div w:id="283076870">
      <w:bodyDiv w:val="1"/>
      <w:marLeft w:val="0"/>
      <w:marRight w:val="0"/>
      <w:marTop w:val="0"/>
      <w:marBottom w:val="0"/>
      <w:divBdr>
        <w:top w:val="none" w:sz="0" w:space="0" w:color="auto"/>
        <w:left w:val="none" w:sz="0" w:space="0" w:color="auto"/>
        <w:bottom w:val="none" w:sz="0" w:space="0" w:color="auto"/>
        <w:right w:val="none" w:sz="0" w:space="0" w:color="auto"/>
      </w:divBdr>
    </w:div>
    <w:div w:id="410390098">
      <w:bodyDiv w:val="1"/>
      <w:marLeft w:val="0"/>
      <w:marRight w:val="0"/>
      <w:marTop w:val="0"/>
      <w:marBottom w:val="0"/>
      <w:divBdr>
        <w:top w:val="none" w:sz="0" w:space="0" w:color="auto"/>
        <w:left w:val="none" w:sz="0" w:space="0" w:color="auto"/>
        <w:bottom w:val="none" w:sz="0" w:space="0" w:color="auto"/>
        <w:right w:val="none" w:sz="0" w:space="0" w:color="auto"/>
      </w:divBdr>
    </w:div>
    <w:div w:id="460342876">
      <w:bodyDiv w:val="1"/>
      <w:marLeft w:val="0"/>
      <w:marRight w:val="0"/>
      <w:marTop w:val="0"/>
      <w:marBottom w:val="0"/>
      <w:divBdr>
        <w:top w:val="none" w:sz="0" w:space="0" w:color="auto"/>
        <w:left w:val="none" w:sz="0" w:space="0" w:color="auto"/>
        <w:bottom w:val="none" w:sz="0" w:space="0" w:color="auto"/>
        <w:right w:val="none" w:sz="0" w:space="0" w:color="auto"/>
      </w:divBdr>
    </w:div>
    <w:div w:id="482888506">
      <w:bodyDiv w:val="1"/>
      <w:marLeft w:val="0"/>
      <w:marRight w:val="0"/>
      <w:marTop w:val="0"/>
      <w:marBottom w:val="0"/>
      <w:divBdr>
        <w:top w:val="none" w:sz="0" w:space="0" w:color="auto"/>
        <w:left w:val="none" w:sz="0" w:space="0" w:color="auto"/>
        <w:bottom w:val="none" w:sz="0" w:space="0" w:color="auto"/>
        <w:right w:val="none" w:sz="0" w:space="0" w:color="auto"/>
      </w:divBdr>
    </w:div>
    <w:div w:id="484052177">
      <w:bodyDiv w:val="1"/>
      <w:marLeft w:val="0"/>
      <w:marRight w:val="0"/>
      <w:marTop w:val="0"/>
      <w:marBottom w:val="0"/>
      <w:divBdr>
        <w:top w:val="none" w:sz="0" w:space="0" w:color="auto"/>
        <w:left w:val="none" w:sz="0" w:space="0" w:color="auto"/>
        <w:bottom w:val="none" w:sz="0" w:space="0" w:color="auto"/>
        <w:right w:val="none" w:sz="0" w:space="0" w:color="auto"/>
      </w:divBdr>
    </w:div>
    <w:div w:id="954562797">
      <w:bodyDiv w:val="1"/>
      <w:marLeft w:val="0"/>
      <w:marRight w:val="0"/>
      <w:marTop w:val="0"/>
      <w:marBottom w:val="0"/>
      <w:divBdr>
        <w:top w:val="none" w:sz="0" w:space="0" w:color="auto"/>
        <w:left w:val="none" w:sz="0" w:space="0" w:color="auto"/>
        <w:bottom w:val="none" w:sz="0" w:space="0" w:color="auto"/>
        <w:right w:val="none" w:sz="0" w:space="0" w:color="auto"/>
      </w:divBdr>
    </w:div>
    <w:div w:id="1376463421">
      <w:bodyDiv w:val="1"/>
      <w:marLeft w:val="0"/>
      <w:marRight w:val="0"/>
      <w:marTop w:val="0"/>
      <w:marBottom w:val="0"/>
      <w:divBdr>
        <w:top w:val="none" w:sz="0" w:space="0" w:color="auto"/>
        <w:left w:val="none" w:sz="0" w:space="0" w:color="auto"/>
        <w:bottom w:val="none" w:sz="0" w:space="0" w:color="auto"/>
        <w:right w:val="none" w:sz="0" w:space="0" w:color="auto"/>
      </w:divBdr>
    </w:div>
    <w:div w:id="1537547634">
      <w:bodyDiv w:val="1"/>
      <w:marLeft w:val="0"/>
      <w:marRight w:val="0"/>
      <w:marTop w:val="0"/>
      <w:marBottom w:val="0"/>
      <w:divBdr>
        <w:top w:val="none" w:sz="0" w:space="0" w:color="auto"/>
        <w:left w:val="none" w:sz="0" w:space="0" w:color="auto"/>
        <w:bottom w:val="none" w:sz="0" w:space="0" w:color="auto"/>
        <w:right w:val="none" w:sz="0" w:space="0" w:color="auto"/>
      </w:divBdr>
    </w:div>
    <w:div w:id="1598906402">
      <w:bodyDiv w:val="1"/>
      <w:marLeft w:val="0"/>
      <w:marRight w:val="0"/>
      <w:marTop w:val="0"/>
      <w:marBottom w:val="0"/>
      <w:divBdr>
        <w:top w:val="none" w:sz="0" w:space="0" w:color="auto"/>
        <w:left w:val="none" w:sz="0" w:space="0" w:color="auto"/>
        <w:bottom w:val="none" w:sz="0" w:space="0" w:color="auto"/>
        <w:right w:val="none" w:sz="0" w:space="0" w:color="auto"/>
      </w:divBdr>
    </w:div>
    <w:div w:id="1746494044">
      <w:bodyDiv w:val="1"/>
      <w:marLeft w:val="0"/>
      <w:marRight w:val="0"/>
      <w:marTop w:val="0"/>
      <w:marBottom w:val="0"/>
      <w:divBdr>
        <w:top w:val="none" w:sz="0" w:space="0" w:color="auto"/>
        <w:left w:val="none" w:sz="0" w:space="0" w:color="auto"/>
        <w:bottom w:val="none" w:sz="0" w:space="0" w:color="auto"/>
        <w:right w:val="none" w:sz="0" w:space="0" w:color="auto"/>
      </w:divBdr>
    </w:div>
    <w:div w:id="1887837551">
      <w:bodyDiv w:val="1"/>
      <w:marLeft w:val="0"/>
      <w:marRight w:val="0"/>
      <w:marTop w:val="0"/>
      <w:marBottom w:val="0"/>
      <w:divBdr>
        <w:top w:val="none" w:sz="0" w:space="0" w:color="auto"/>
        <w:left w:val="none" w:sz="0" w:space="0" w:color="auto"/>
        <w:bottom w:val="none" w:sz="0" w:space="0" w:color="auto"/>
        <w:right w:val="none" w:sz="0" w:space="0" w:color="auto"/>
      </w:divBdr>
    </w:div>
    <w:div w:id="190618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Usuario\Documents\ZBV\CRESUD\www.cresud.com.ar" TargetMode="External"/><Relationship Id="rId18" Type="http://schemas.openxmlformats.org/officeDocument/2006/relationships/hyperlink" Target="mailto:natalia.sposaro@itau.com.a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angel.tremonti@itau.com.ar" TargetMode="External"/><Relationship Id="rId2" Type="http://schemas.openxmlformats.org/officeDocument/2006/relationships/customXml" Target="../customXml/item2.xml"/><Relationship Id="rId16" Type="http://schemas.openxmlformats.org/officeDocument/2006/relationships/hyperlink" Target="mailto:mariano.palermo@itaubba.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arcos.delavega@itaubba.com"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oracio.Roque@itaubba.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EF93B5D32D79A4B9FAAA6FB4C2C644B" ma:contentTypeVersion="13" ma:contentTypeDescription="Crear nuevo documento." ma:contentTypeScope="" ma:versionID="b4d1b140601dfc41702090d8ac7d1530">
  <xsd:schema xmlns:xsd="http://www.w3.org/2001/XMLSchema" xmlns:xs="http://www.w3.org/2001/XMLSchema" xmlns:p="http://schemas.microsoft.com/office/2006/metadata/properties" xmlns:ns3="44e1e6d0-fd79-4755-b6ac-b77e09db51d5" xmlns:ns4="f888271a-03a7-413b-9a56-2c2cd6eac586" targetNamespace="http://schemas.microsoft.com/office/2006/metadata/properties" ma:root="true" ma:fieldsID="f82799e0580799409f58c80acf760350" ns3:_="" ns4:_="">
    <xsd:import namespace="44e1e6d0-fd79-4755-b6ac-b77e09db51d5"/>
    <xsd:import namespace="f888271a-03a7-413b-9a56-2c2cd6eac5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1e6d0-fd79-4755-b6ac-b77e09db5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88271a-03a7-413b-9a56-2c2cd6eac58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ED13B-54FE-48D9-A1BD-EA47374ECA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4D8CB3-838B-47F6-A25F-DF4D590C7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1e6d0-fd79-4755-b6ac-b77e09db51d5"/>
    <ds:schemaRef ds:uri="f888271a-03a7-413b-9a56-2c2cd6eac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EA21D2-323A-45D0-8906-880319A7D535}">
  <ds:schemaRefs>
    <ds:schemaRef ds:uri="http://schemas.microsoft.com/sharepoint/v3/contenttype/forms"/>
  </ds:schemaRefs>
</ds:datastoreItem>
</file>

<file path=customXml/itemProps4.xml><?xml version="1.0" encoding="utf-8"?>
<ds:datastoreItem xmlns:ds="http://schemas.openxmlformats.org/officeDocument/2006/customXml" ds:itemID="{37B80B9A-3B3C-456C-9010-1AEFB60D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4399</Words>
  <Characters>24198</Characters>
  <Application>Microsoft Office Word</Application>
  <DocSecurity>0</DocSecurity>
  <Lines>201</Lines>
  <Paragraphs>57</Paragraphs>
  <ScaleCrop>false</ScaleCrop>
  <HeadingPairs>
    <vt:vector size="6" baseType="variant">
      <vt:variant>
        <vt:lpstr>Title</vt:lpstr>
      </vt:variant>
      <vt:variant>
        <vt:i4>1</vt:i4>
      </vt:variant>
      <vt:variant>
        <vt:lpstr>Título</vt:lpstr>
      </vt:variant>
      <vt:variant>
        <vt:i4>1</vt:i4>
      </vt:variant>
      <vt:variant>
        <vt:lpstr>Títulos</vt:lpstr>
      </vt:variant>
      <vt:variant>
        <vt:i4>1</vt:i4>
      </vt:variant>
    </vt:vector>
  </HeadingPairs>
  <TitlesOfParts>
    <vt:vector size="3" baseType="lpstr">
      <vt:lpstr/>
      <vt:lpstr/>
      <vt:lpstr>    Ciudad Autónoma de Buenos Aires, 29 de junio de 2021.-</vt:lpstr>
    </vt:vector>
  </TitlesOfParts>
  <Company>ZBV</Company>
  <LinksUpToDate>false</LinksUpToDate>
  <CharactersWithSpaces>28540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M. Bereciartua</dc:creator>
  <cp:lastModifiedBy>ignaciomilito</cp:lastModifiedBy>
  <cp:revision>2</cp:revision>
  <cp:lastPrinted>2017-08-31T17:38:00Z</cp:lastPrinted>
  <dcterms:created xsi:type="dcterms:W3CDTF">2021-06-29T14:44:00Z</dcterms:created>
  <dcterms:modified xsi:type="dcterms:W3CDTF">2021-06-29T14:44:00Z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gFAAXJDLFUo5N7sbdnzPw8vY3YTEN0HZTzWBiUcmcjTcq7g7BVYhIQDoXvvTdVik2RTicuV2zHCYAQvu_x000d_
uLG4SvGUqyZoi8pM94Y4ebwzKL7Iar6ec/PbBYogimicl22l93Uf/HLPkr4LXzbuuLG4SvGUqyZo_x000d_
i8pM94Y4ebwzKL7Iar6ec/PbBYogimicl22l93UfvnP5vWd0erjRkODZo1xWBFW/tHt7ZlhB114r_x000d_
H1aIxFcK3H3+7mCC2</vt:lpwstr>
  </property>
  <property fmtid="{D5CDD505-2E9C-101B-9397-08002B2CF9AE}" pid="3" name="MAIL_MSG_ID2">
    <vt:lpwstr>pJF6NltNOYjjwx9zbsUIsbSYkFrHAnBB67aQObjAkllVEJemgRT5iPY3w8o_x000d_
EIJSYKoO6vVA7NnEl72/4xk0pFacsE31wV9XRw==</vt:lpwstr>
  </property>
  <property fmtid="{D5CDD505-2E9C-101B-9397-08002B2CF9AE}" pid="4" name="RESPONSE_SENDER_NAME">
    <vt:lpwstr>sAAAGYoQX4c3X/Kkrwy/rEBWJXG3eSUqzT8zLMU7/D0cje0=</vt:lpwstr>
  </property>
  <property fmtid="{D5CDD505-2E9C-101B-9397-08002B2CF9AE}" pid="5" name="EMAIL_OWNER_ADDRESS">
    <vt:lpwstr>4AAAMz5NUQ6P8J88NNFFU3b6Ieu3JQ9rTqDy0/+gu0mgEIQ8wab9oYnA8w==</vt:lpwstr>
  </property>
  <property fmtid="{D5CDD505-2E9C-101B-9397-08002B2CF9AE}" pid="6" name="ContentTypeId">
    <vt:lpwstr>0x0101003EF93B5D32D79A4B9FAAA6FB4C2C644B</vt:lpwstr>
  </property>
</Properties>
</file>